
<file path=[Content_Types].xml><?xml version="1.0" encoding="utf-8"?>
<Types xmlns="http://schemas.openxmlformats.org/package/2006/content-types">
  <Default Extension="xml" ContentType="application/xml"/>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comments.xml" ContentType="application/vnd.openxmlformats-officedocument.wordprocessingml.comment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pStyle w:val="NoSpacing"/>
        <w:spacing w:line="360"/>
        <w:jc w:val="center"/>
        <w:rPr>
          <w:rFonts w:ascii="Arial" w:cs="Arial" w:hAnsi="Arial"/>
          <w:b/>
          <w:bCs/>
          <w:sz w:val="24"/>
          <w:szCs w:val="24"/>
        </w:rPr>
      </w:pPr>
      <w:r>
        <w:rPr>
          <w:rFonts w:ascii="Arial" w:cs="Arial" w:hAnsi="Arial"/>
          <w:b/>
          <w:bCs/>
          <w:sz w:val="24"/>
          <w:szCs w:val="24"/>
        </w:rPr>
        <w:t>TREWERN</w:t>
      </w:r>
      <w:r>
        <w:rPr>
          <w:rFonts w:ascii="Arial" w:cs="Arial" w:hAnsi="Arial"/>
          <w:b/>
          <w:bCs/>
          <w:sz w:val="24"/>
          <w:szCs w:val="24"/>
        </w:rPr>
        <w:t xml:space="preserve"> COMMUNITY COUNCIL / CYNGOR CYMUNED </w:t>
      </w:r>
      <w:r>
        <w:rPr>
          <w:rFonts w:ascii="Arial" w:cs="Arial" w:hAnsi="Arial"/>
          <w:b/>
          <w:bCs/>
          <w:sz w:val="24"/>
          <w:szCs w:val="24"/>
        </w:rPr>
        <w:t>TREWERN</w:t>
      </w:r>
    </w:p>
    <w:p w14:paraId="00000006">
      <w:pPr>
        <w:pStyle w:val="NoSpacing"/>
        <w:spacing w:line="360"/>
        <w:jc w:val="center"/>
        <w:rPr>
          <w:rFonts w:ascii="Arial" w:cs="Arial" w:hAnsi="Arial"/>
          <w:b/>
          <w:bCs/>
          <w:sz w:val="22"/>
          <w:szCs w:val="22"/>
        </w:rPr>
      </w:pPr>
      <w:r>
        <w:rPr>
          <w:rFonts w:ascii="Arial" w:cs="Arial" w:hAnsi="Arial"/>
          <w:b/>
          <w:bCs/>
          <w:sz w:val="22"/>
          <w:szCs w:val="22"/>
        </w:rPr>
        <w:t>CONSTITUTION</w:t>
      </w:r>
      <w:r>
        <w:rPr>
          <w:rFonts w:ascii="Arial" w:cs="Arial" w:hAnsi="Arial"/>
          <w:b/>
          <w:bCs/>
          <w:sz w:val="22"/>
          <w:szCs w:val="22"/>
        </w:rPr>
        <w:t xml:space="preserve"> </w:t>
      </w:r>
    </w:p>
    <w:p w14:paraId="00000007">
      <w:pPr>
        <w:pStyle w:val="NoSpacing"/>
        <w:rPr>
          <w:rFonts w:ascii="Arial" w:cs="Arial" w:hAnsi="Arial"/>
          <w:sz w:val="22"/>
          <w:szCs w:val="22"/>
        </w:rPr>
      </w:pPr>
    </w:p>
    <w:p w14:paraId="00000008">
      <w:pPr>
        <w:pStyle w:val="NoSpacing"/>
        <w:spacing w:line="276"/>
        <w:rPr>
          <w:rFonts w:ascii="Arial" w:cs="Arial" w:hAnsi="Arial"/>
          <w:b/>
          <w:bCs/>
          <w:sz w:val="22"/>
          <w:szCs w:val="22"/>
        </w:rPr>
      </w:pPr>
      <w:r>
        <w:rPr>
          <w:rFonts w:ascii="Arial" w:cs="Arial" w:hAnsi="Arial"/>
          <w:b/>
          <w:bCs/>
          <w:sz w:val="22"/>
          <w:szCs w:val="22"/>
        </w:rPr>
        <w:t>STANDING ORDERS</w:t>
      </w:r>
    </w:p>
    <w:p w14:paraId="00000009">
      <w:pPr>
        <w:pStyle w:val="NoSpacing"/>
        <w:bidi w:val="off"/>
        <w:rPr>
          <w:rFonts w:ascii="Arial" w:cs="Arial" w:hAnsi="Arial"/>
          <w:sz w:val="22"/>
          <w:szCs w:val="22"/>
          <w:lang w:val="en-US"/>
        </w:rPr>
      </w:pPr>
      <w:r>
        <w:rPr>
          <w:rFonts w:ascii="Arial" w:cs="Arial" w:hAnsi="Arial"/>
          <w:sz w:val="22"/>
          <w:szCs w:val="22"/>
          <w:rtl w:val="off"/>
          <w:lang w:val="en-US"/>
        </w:rPr>
        <w:t>Trewern Community Council operates under Standing Orders, which regulate its business and proceedings. While Standing Orders do not have the force of law, they are essential for conducting meetings effectively and must be followed by all members.</w:t>
      </w:r>
    </w:p>
    <w:p w14:paraId="0000000A">
      <w:pPr>
        <w:pStyle w:val="NoSpacing"/>
        <w:bidi w:val="off"/>
        <w:rPr>
          <w:rFonts w:ascii="Arial" w:cs="Arial" w:hAnsi="Arial"/>
          <w:sz w:val="22"/>
          <w:szCs w:val="22"/>
          <w:lang w:val="en-US"/>
        </w:rPr>
      </w:pPr>
    </w:p>
    <w:p w14:paraId="0000000B">
      <w:pPr>
        <w:pStyle w:val="NoSpacing"/>
        <w:bidi w:val="off"/>
        <w:rPr>
          <w:rFonts w:ascii="Arial" w:cs="Arial" w:hAnsi="Arial"/>
          <w:sz w:val="22"/>
          <w:szCs w:val="22"/>
          <w:lang w:val="en-US"/>
        </w:rPr>
      </w:pPr>
      <w:r>
        <w:rPr>
          <w:rFonts w:ascii="Arial" w:cs="Arial" w:hAnsi="Arial"/>
          <w:sz w:val="22"/>
          <w:szCs w:val="22"/>
          <w:rtl w:val="off"/>
          <w:lang w:val="en-US"/>
        </w:rPr>
        <w:t>The Council has also adopted the following key policies, which govern its operations:</w:t>
      </w:r>
    </w:p>
    <w:p w14:paraId="0000000C">
      <w:pPr>
        <w:pStyle w:val="NoSpacing"/>
        <w:numPr>
          <w:ilvl w:val="0"/>
          <w:numId w:val="26"/>
        </w:numPr>
        <w:bidi w:val="off"/>
        <w:rPr>
          <w:rFonts w:ascii="Arial" w:cs="Arial" w:hAnsi="Arial"/>
          <w:sz w:val="22"/>
          <w:szCs w:val="22"/>
          <w:lang w:val="en-US"/>
        </w:rPr>
      </w:pPr>
      <w:r>
        <w:rPr>
          <w:rFonts w:ascii="Arial" w:cs="Arial" w:hAnsi="Arial"/>
          <w:b/>
          <w:bCs/>
          <w:sz w:val="22"/>
          <w:szCs w:val="22"/>
          <w:rtl w:val="off"/>
          <w:lang w:val="en-US"/>
        </w:rPr>
        <w:t>Standing Orders</w:t>
      </w:r>
      <w:r>
        <w:rPr>
          <w:rFonts w:ascii="Arial" w:cs="Arial" w:hAnsi="Arial"/>
          <w:sz w:val="22"/>
          <w:szCs w:val="22"/>
          <w:rtl w:val="off"/>
          <w:lang w:val="en-US"/>
        </w:rPr>
        <w:t xml:space="preserve"> </w:t>
      </w:r>
      <w:r>
        <w:rPr>
          <w:rFonts w:ascii="Arial" w:cs="Arial" w:hAnsi="Arial"/>
          <w:sz w:val="22"/>
          <w:szCs w:val="22"/>
          <w:rtl w:val="off"/>
          <w:lang w:val="en-US"/>
        </w:rPr>
        <w:t>(Reviewed October 2024)</w:t>
      </w:r>
    </w:p>
    <w:p w14:paraId="0000000D">
      <w:pPr>
        <w:pStyle w:val="NoSpacing"/>
        <w:numPr>
          <w:ilvl w:val="0"/>
          <w:numId w:val="26"/>
        </w:numPr>
        <w:bidi w:val="off"/>
        <w:rPr>
          <w:rFonts w:ascii="Arial" w:cs="Arial" w:hAnsi="Arial"/>
          <w:sz w:val="22"/>
          <w:szCs w:val="22"/>
          <w:lang w:val="en-US"/>
        </w:rPr>
      </w:pPr>
      <w:r>
        <w:rPr>
          <w:rFonts w:ascii="Arial" w:cs="Arial" w:hAnsi="Arial"/>
          <w:b/>
          <w:bCs/>
          <w:sz w:val="22"/>
          <w:szCs w:val="22"/>
          <w:rtl w:val="off"/>
          <w:lang w:val="en-US"/>
        </w:rPr>
        <w:t>Code of Conduct</w:t>
      </w:r>
      <w:r>
        <w:rPr>
          <w:rFonts w:ascii="Arial" w:cs="Arial" w:hAnsi="Arial"/>
          <w:sz w:val="22"/>
          <w:szCs w:val="22"/>
          <w:rtl w:val="off"/>
          <w:lang w:val="en-US"/>
        </w:rPr>
        <w:t xml:space="preserve"> </w:t>
      </w:r>
      <w:r>
        <w:rPr>
          <w:rFonts w:ascii="Arial" w:cs="Arial" w:hAnsi="Arial"/>
          <w:sz w:val="22"/>
          <w:szCs w:val="22"/>
          <w:rtl w:val="off"/>
          <w:lang w:val="en-US"/>
        </w:rPr>
        <w:t>(Reviewed October 2024)</w:t>
      </w:r>
    </w:p>
    <w:p w14:paraId="0000000E">
      <w:pPr>
        <w:pStyle w:val="NoSpacing"/>
        <w:numPr>
          <w:ilvl w:val="0"/>
          <w:numId w:val="26"/>
        </w:numPr>
        <w:bidi w:val="off"/>
        <w:rPr>
          <w:rFonts w:ascii="Arial" w:cs="Arial" w:hAnsi="Arial"/>
          <w:sz w:val="22"/>
          <w:szCs w:val="22"/>
          <w:lang w:val="en-US"/>
        </w:rPr>
      </w:pPr>
      <w:r>
        <w:rPr>
          <w:rFonts w:ascii="Arial" w:cs="Arial" w:hAnsi="Arial"/>
          <w:b/>
          <w:bCs/>
          <w:sz w:val="22"/>
          <w:szCs w:val="22"/>
          <w:rtl w:val="off"/>
          <w:lang w:val="en-US"/>
        </w:rPr>
        <w:t>Financial Regulations</w:t>
      </w:r>
      <w:r>
        <w:rPr>
          <w:rFonts w:ascii="Arial" w:cs="Arial" w:hAnsi="Arial"/>
          <w:sz w:val="22"/>
          <w:szCs w:val="22"/>
          <w:rtl w:val="off"/>
          <w:lang w:val="en-US"/>
        </w:rPr>
        <w:t xml:space="preserve"> </w:t>
      </w:r>
      <w:r>
        <w:rPr>
          <w:rFonts w:ascii="Arial" w:cs="Arial" w:hAnsi="Arial"/>
          <w:sz w:val="22"/>
          <w:szCs w:val="22"/>
          <w:rtl w:val="off"/>
          <w:lang w:val="en-US"/>
        </w:rPr>
        <w:t>(Reviewed October 2024)</w:t>
      </w:r>
    </w:p>
    <w:p w14:paraId="0000000F">
      <w:pPr>
        <w:pStyle w:val="NoSpacing"/>
        <w:numPr>
          <w:ilvl w:val="0"/>
          <w:numId w:val="26"/>
        </w:numPr>
        <w:bidi w:val="off"/>
        <w:rPr>
          <w:rFonts w:ascii="Arial" w:cs="Arial" w:hAnsi="Arial"/>
          <w:sz w:val="22"/>
          <w:szCs w:val="22"/>
          <w:lang w:val="en-US"/>
        </w:rPr>
      </w:pPr>
      <w:r>
        <w:rPr>
          <w:rFonts w:ascii="Arial" w:cs="Arial" w:hAnsi="Arial"/>
          <w:b/>
          <w:bCs/>
          <w:sz w:val="22"/>
          <w:szCs w:val="22"/>
          <w:rtl w:val="off"/>
          <w:lang w:val="en-US"/>
        </w:rPr>
        <w:t xml:space="preserve">Public Speaking Protocol </w:t>
      </w:r>
      <w:r>
        <w:rPr>
          <w:rFonts w:ascii="Arial" w:cs="Arial" w:hAnsi="Arial"/>
          <w:sz w:val="22"/>
          <w:szCs w:val="22"/>
          <w:rtl w:val="off"/>
          <w:lang w:val="en-US"/>
        </w:rPr>
        <w:t>(Reviewed October 2024)</w:t>
      </w:r>
    </w:p>
    <w:p w14:paraId="00000010">
      <w:pPr>
        <w:pStyle w:val="NoSpacing"/>
        <w:numPr>
          <w:ilvl w:val="0"/>
          <w:numId w:val="26"/>
        </w:numPr>
        <w:bidi w:val="off"/>
        <w:rPr>
          <w:rFonts w:ascii="Arial" w:cs="Arial" w:hAnsi="Arial"/>
          <w:sz w:val="22"/>
          <w:szCs w:val="22"/>
          <w:lang w:val="en-US"/>
        </w:rPr>
      </w:pPr>
      <w:r>
        <w:rPr>
          <w:rFonts w:ascii="Arial" w:cs="Arial" w:hAnsi="Arial"/>
          <w:b/>
          <w:bCs/>
          <w:sz w:val="22"/>
          <w:szCs w:val="22"/>
          <w:rtl w:val="off"/>
          <w:lang w:val="en-US"/>
        </w:rPr>
        <w:t>Risk Management Policy</w:t>
      </w:r>
      <w:r>
        <w:rPr>
          <w:rFonts w:ascii="Arial" w:cs="Arial" w:hAnsi="Arial"/>
          <w:sz w:val="22"/>
          <w:szCs w:val="22"/>
          <w:rtl w:val="off"/>
          <w:lang w:val="en-US"/>
        </w:rPr>
        <w:t xml:space="preserve"> </w:t>
      </w:r>
      <w:r>
        <w:rPr>
          <w:rFonts w:ascii="Arial" w:cs="Arial" w:hAnsi="Arial"/>
          <w:sz w:val="22"/>
          <w:szCs w:val="22"/>
          <w:rtl w:val="off"/>
          <w:lang w:val="en-US"/>
        </w:rPr>
        <w:t>(Adopted June 2019)</w:t>
      </w:r>
    </w:p>
    <w:p w14:paraId="00000011">
      <w:pPr>
        <w:pStyle w:val="NoSpacing"/>
        <w:numPr>
          <w:ilvl w:val="0"/>
          <w:numId w:val="26"/>
        </w:numPr>
        <w:bidi w:val="off"/>
        <w:rPr>
          <w:rFonts w:ascii="Arial" w:cs="Arial" w:hAnsi="Arial"/>
          <w:sz w:val="22"/>
          <w:szCs w:val="22"/>
          <w:lang w:val="en-US"/>
        </w:rPr>
      </w:pPr>
      <w:r>
        <w:rPr>
          <w:rFonts w:ascii="Arial" w:cs="Arial" w:hAnsi="Arial"/>
          <w:b/>
          <w:bCs/>
          <w:sz w:val="22"/>
          <w:szCs w:val="22"/>
          <w:rtl w:val="off"/>
          <w:lang w:val="en-US"/>
        </w:rPr>
        <w:t>Equality &amp; Diversity Policy</w:t>
      </w:r>
      <w:r>
        <w:rPr>
          <w:rFonts w:ascii="Arial" w:cs="Arial" w:hAnsi="Arial"/>
          <w:sz w:val="22"/>
          <w:szCs w:val="22"/>
          <w:rtl w:val="off"/>
          <w:lang w:val="en-US"/>
        </w:rPr>
        <w:t xml:space="preserve"> </w:t>
      </w:r>
      <w:r>
        <w:rPr>
          <w:rFonts w:ascii="Arial" w:cs="Arial" w:hAnsi="Arial"/>
          <w:sz w:val="22"/>
          <w:szCs w:val="22"/>
          <w:rtl w:val="off"/>
          <w:lang w:val="en-US"/>
        </w:rPr>
        <w:t>(Adopted July 2019)</w:t>
      </w:r>
    </w:p>
    <w:p w14:paraId="00000012">
      <w:pPr>
        <w:pStyle w:val="NoSpacing"/>
        <w:bidi w:val="off"/>
        <w:rPr>
          <w:rFonts w:ascii="Arial" w:cs="Arial" w:hAnsi="Arial"/>
          <w:sz w:val="22"/>
          <w:szCs w:val="22"/>
        </w:rPr>
      </w:pPr>
    </w:p>
    <w:p w14:paraId="00000013">
      <w:pPr>
        <w:pStyle w:val="NoSpacing"/>
        <w:bidi w:val="off"/>
        <w:spacing w:line="276"/>
        <w:rPr>
          <w:rFonts w:ascii="Arial" w:cs="Arial" w:hAnsi="Arial"/>
          <w:b/>
          <w:bCs/>
          <w:sz w:val="22"/>
          <w:szCs w:val="22"/>
          <w:lang w:val="en-US"/>
        </w:rPr>
      </w:pPr>
      <w:r>
        <w:rPr>
          <w:rFonts w:ascii="Arial" w:cs="Arial" w:hAnsi="Arial"/>
          <w:b/>
          <w:bCs/>
          <w:sz w:val="22"/>
          <w:szCs w:val="22"/>
          <w:rtl w:val="off"/>
          <w:lang w:val="en-US"/>
        </w:rPr>
        <w:t>MEETINGS &amp; DECISION-MAKING</w:t>
      </w:r>
    </w:p>
    <w:p w14:paraId="00000014">
      <w:pPr>
        <w:pStyle w:val="NoSpacing"/>
        <w:bidi w:val="off"/>
        <w:rPr>
          <w:rFonts w:ascii="Arial" w:cs="Arial" w:hAnsi="Arial"/>
          <w:sz w:val="22"/>
          <w:szCs w:val="22"/>
        </w:rPr>
      </w:pPr>
      <w:r>
        <w:rPr>
          <w:rFonts w:ascii="Arial" w:cs="Arial" w:hAnsi="Arial"/>
          <w:sz w:val="22"/>
          <w:szCs w:val="22"/>
        </w:rPr>
        <w:t>Annual meetings – the annual meeting must be held in May in all but ordinary election years</w:t>
      </w:r>
      <w:r>
        <w:rPr>
          <w:rFonts w:ascii="Arial" w:cs="Arial" w:hAnsi="Arial"/>
          <w:sz w:val="22"/>
          <w:szCs w:val="22"/>
        </w:rPr>
        <w:t xml:space="preserve">. </w:t>
      </w:r>
      <w:r>
        <w:rPr>
          <w:rFonts w:ascii="Arial" w:cs="Arial" w:hAnsi="Arial"/>
          <w:sz w:val="22"/>
          <w:szCs w:val="22"/>
          <w:rtl w:val="off"/>
          <w:lang w:val="en-US"/>
        </w:rPr>
        <w:t xml:space="preserve">In the year of an election of local councillors, the annual meeting must take place on the fourth day following the date of the election, or within 14 days, whichever is earlier. </w:t>
      </w:r>
    </w:p>
    <w:p w14:paraId="00000015">
      <w:pPr>
        <w:pStyle w:val="NoSpacing"/>
        <w:bidi w:val="off"/>
        <w:rPr>
          <w:rFonts w:ascii="Arial" w:cs="Arial" w:hAnsi="Arial"/>
          <w:sz w:val="22"/>
          <w:szCs w:val="22"/>
        </w:rPr>
      </w:pPr>
    </w:p>
    <w:p w14:paraId="00000016">
      <w:pPr>
        <w:pStyle w:val="NoSpacing"/>
        <w:bidi w:val="off"/>
        <w:rPr>
          <w:rFonts w:ascii="Arial" w:cs="Arial" w:hAnsi="Arial"/>
          <w:sz w:val="22"/>
          <w:szCs w:val="22"/>
          <w:lang w:val="en-US"/>
        </w:rPr>
      </w:pPr>
      <w:r>
        <w:rPr>
          <w:rFonts w:ascii="Arial" w:cs="Arial" w:hAnsi="Arial"/>
          <w:sz w:val="22"/>
          <w:szCs w:val="22"/>
        </w:rPr>
        <w:t xml:space="preserve">Number of meeting – a Community Council </w:t>
      </w:r>
      <w:r>
        <w:rPr>
          <w:rFonts w:ascii="Arial" w:cs="Arial" w:hAnsi="Arial"/>
          <w:sz w:val="22"/>
          <w:szCs w:val="22"/>
        </w:rPr>
        <w:t xml:space="preserve">must hold an Annual meeting and such other meetings as it thinks necessary for the transaction of its business. </w:t>
      </w:r>
      <w:r>
        <w:rPr>
          <w:rFonts w:ascii="Arial" w:cs="Arial" w:hAnsi="Arial"/>
          <w:sz w:val="22"/>
          <w:szCs w:val="22"/>
          <w:rtl w:val="off"/>
          <w:lang w:val="en-US"/>
        </w:rPr>
        <w:t xml:space="preserve">An extraordinary meeting may be convened at any time by the Chairperson or by any two members, provided they have requisitioned such a meeting. If the Chairperson refuses or omits to call the meeting within seven days of the requisition, the members may proceed to call the meeting themselves. </w:t>
      </w:r>
    </w:p>
    <w:p w14:paraId="00000017">
      <w:pPr>
        <w:pStyle w:val="NoSpacing"/>
        <w:bidi w:val="off"/>
        <w:rPr>
          <w:rFonts w:ascii="Arial" w:cs="Arial" w:hAnsi="Arial"/>
          <w:sz w:val="22"/>
          <w:szCs w:val="22"/>
          <w:lang w:val="en-US"/>
        </w:rPr>
      </w:pPr>
    </w:p>
    <w:p w14:paraId="00000018">
      <w:pPr>
        <w:pStyle w:val="NoSpacing"/>
        <w:rPr>
          <w:rFonts w:ascii="Arial" w:cs="Arial" w:hAnsi="Arial"/>
          <w:sz w:val="22"/>
          <w:szCs w:val="22"/>
          <w:highlight w:val="none"/>
        </w:rPr>
      </w:pPr>
      <w:r>
        <w:rPr>
          <w:rFonts w:ascii="Arial" w:cs="Arial" w:hAnsi="Arial"/>
          <w:sz w:val="22"/>
          <w:szCs w:val="22"/>
          <w:highlight w:val="none"/>
        </w:rPr>
        <w:t>Minutes – the minutes of the proceedings of the Council are to be recorded and kept on file (digital copy to be saved in Dropbox as for back-up) usually by the Clerk, however in the absence of the Clerk, the Minutes may be taken by a member of the Council.</w:t>
      </w:r>
    </w:p>
    <w:p w14:paraId="00000019">
      <w:pPr>
        <w:pStyle w:val="NoSpacing"/>
        <w:bidi w:val="off"/>
        <w:rPr>
          <w:rFonts w:ascii="Arial" w:cs="Arial" w:hAnsi="Arial"/>
          <w:sz w:val="22"/>
          <w:szCs w:val="22"/>
          <w:highlight w:val="none"/>
        </w:rPr>
      </w:pPr>
      <w:r>
        <w:rPr>
          <w:rFonts w:ascii="Arial" w:cs="Arial" w:hAnsi="Arial"/>
          <w:sz w:val="22"/>
          <w:szCs w:val="22"/>
          <w:highlight w:val="none"/>
          <w:rtl w:val="off"/>
          <w:lang w:val="en-US"/>
        </w:rPr>
        <w:t>Minutes must be signed at the next meeting by the presiding Chairperson. If recorded on loose leaves, each sheet must be initialled by the presiding Chairperson and numbered consecutively.</w:t>
      </w:r>
      <w:r>
        <w:rPr>
          <w:rFonts w:ascii="Arial" w:cs="Arial" w:hAnsi="Arial"/>
          <w:sz w:val="22"/>
          <w:szCs w:val="22"/>
          <w:rtl w:val="off"/>
          <w:lang w:val="en-US"/>
        </w:rPr>
        <w:t xml:space="preserve"> </w:t>
      </w:r>
    </w:p>
    <w:p w14:paraId="0000001A">
      <w:pPr>
        <w:pStyle w:val="NoSpacing"/>
        <w:bidi w:val="off"/>
        <w:rPr>
          <w:rFonts w:ascii="Arial" w:cs="Arial" w:hAnsi="Arial"/>
          <w:sz w:val="22"/>
          <w:szCs w:val="22"/>
          <w:highlight w:val="none"/>
          <w:lang w:val="en-US"/>
        </w:rPr>
      </w:pPr>
    </w:p>
    <w:p w14:paraId="0000001B">
      <w:pPr>
        <w:pStyle w:val="NoSpacing"/>
        <w:rPr>
          <w:rFonts w:ascii="Arial" w:cs="Arial" w:hAnsi="Arial"/>
          <w:sz w:val="22"/>
          <w:szCs w:val="22"/>
          <w:highlight w:val="none"/>
        </w:rPr>
      </w:pPr>
      <w:r>
        <w:rPr>
          <w:rFonts w:ascii="Arial" w:cs="Arial" w:hAnsi="Arial"/>
          <w:sz w:val="22"/>
          <w:szCs w:val="22"/>
          <w:highlight w:val="none"/>
        </w:rPr>
        <w:t>Notice of meetings – at least three days before a council meeting takes place, notice of the time and the place of such a meeting has to be displayed in some conspicuous place within the community. In addition to the public notice, the Clerk is required to serve upon every Councillor a summons to attend the meeting, specifying the business to be transacted. It should be noted failure to serve a summons does not affect the validity of the meeting.</w:t>
      </w:r>
      <w:r>
        <w:rPr>
          <w:rFonts w:ascii="Arial" w:cs="Arial" w:hAnsi="Arial"/>
          <w:sz w:val="22"/>
          <w:szCs w:val="22"/>
        </w:rPr>
        <w:t xml:space="preserve"> </w:t>
      </w:r>
    </w:p>
    <w:p w14:paraId="0000001C">
      <w:pPr>
        <w:pStyle w:val="NoSpacing"/>
        <w:bidi w:val="off"/>
        <w:rPr>
          <w:rFonts w:ascii="Arial" w:cs="Arial" w:hAnsi="Arial"/>
          <w:sz w:val="22"/>
          <w:szCs w:val="22"/>
          <w:lang w:val="en-US"/>
        </w:rPr>
      </w:pPr>
      <w:r>
        <w:rPr>
          <w:rFonts w:ascii="Arial" w:cs="Arial" w:hAnsi="Arial"/>
          <w:sz w:val="22"/>
          <w:szCs w:val="22"/>
          <w:highlight w:val="none"/>
          <w:rtl w:val="off"/>
          <w:lang w:val="en-US"/>
        </w:rPr>
        <w:t xml:space="preserve">Public notice of meetings must be displayed at least </w:t>
      </w:r>
      <w:r>
        <w:rPr>
          <w:rFonts w:ascii="Arial" w:cs="Arial" w:hAnsi="Arial"/>
          <w:sz w:val="22"/>
          <w:szCs w:val="22"/>
          <w:highlight w:val="none"/>
          <w:rtl w:val="off"/>
          <w:lang w:val="en-US"/>
        </w:rPr>
        <w:t xml:space="preserve">three days </w:t>
      </w:r>
      <w:r>
        <w:rPr>
          <w:rFonts w:ascii="Arial" w:cs="Arial" w:hAnsi="Arial"/>
          <w:sz w:val="22"/>
          <w:szCs w:val="22"/>
          <w:highlight w:val="none"/>
          <w:rtl w:val="off"/>
          <w:lang w:val="en-US"/>
        </w:rPr>
        <w:t>in advance.</w:t>
      </w:r>
    </w:p>
    <w:p w14:paraId="0000001D">
      <w:pPr>
        <w:pStyle w:val="NoSpacing"/>
        <w:bidi w:val="off"/>
        <w:rPr>
          <w:rFonts w:ascii="Arial" w:cs="Arial" w:hAnsi="Arial"/>
          <w:sz w:val="22"/>
          <w:szCs w:val="22"/>
        </w:rPr>
      </w:pPr>
    </w:p>
    <w:p w14:paraId="0000001E">
      <w:pPr>
        <w:pStyle w:val="NoSpacing"/>
        <w:bidi w:val="off"/>
        <w:spacing w:line="276"/>
        <w:rPr>
          <w:rFonts w:ascii="Arial" w:cs="Arial" w:hAnsi="Arial"/>
          <w:sz w:val="22"/>
          <w:szCs w:val="22"/>
          <w:lang w:val="en-US"/>
        </w:rPr>
      </w:pPr>
      <w:r>
        <w:rPr>
          <w:rFonts w:ascii="Arial" w:cs="Arial" w:hAnsi="Arial"/>
          <w:b/>
          <w:bCs/>
          <w:sz w:val="22"/>
          <w:szCs w:val="22"/>
          <w:rtl w:val="off"/>
          <w:lang w:val="en-US"/>
        </w:rPr>
        <w:t>QUORUM &amp; VOTING</w:t>
      </w:r>
    </w:p>
    <w:p w14:paraId="0000001F">
      <w:pPr>
        <w:pStyle w:val="NoSpacing"/>
        <w:bidi w:val="off"/>
        <w:rPr>
          <w:rFonts w:ascii="Arial" w:cs="Arial" w:hAnsi="Arial"/>
          <w:sz w:val="22"/>
          <w:szCs w:val="22"/>
        </w:rPr>
      </w:pPr>
      <w:r>
        <w:rPr>
          <w:rFonts w:ascii="Arial" w:cs="Arial" w:hAnsi="Arial"/>
          <w:sz w:val="22"/>
          <w:szCs w:val="22"/>
        </w:rPr>
        <w:t xml:space="preserve">Quorum – </w:t>
      </w:r>
      <w:r>
        <w:rPr>
          <w:rFonts w:ascii="Arial" w:cs="Arial" w:hAnsi="Arial"/>
          <w:sz w:val="22"/>
          <w:szCs w:val="22"/>
          <w:rtl w:val="off"/>
          <w:lang w:val="en-US"/>
        </w:rPr>
        <w:t xml:space="preserve">No business shall be transacted at a meeting unless at least one-third of the total number of Councillors are present. </w:t>
      </w:r>
      <w:r>
        <w:rPr>
          <w:rFonts w:ascii="Arial" w:cs="Arial" w:hAnsi="Arial"/>
          <w:sz w:val="22"/>
          <w:szCs w:val="22"/>
        </w:rPr>
        <w:t xml:space="preserve">In no case however, can the quorum be less than three members. </w:t>
      </w:r>
    </w:p>
    <w:p w14:paraId="00000020">
      <w:pPr>
        <w:pStyle w:val="NoSpacing"/>
        <w:bidi w:val="off"/>
        <w:rPr>
          <w:rFonts w:ascii="Arial" w:cs="Arial" w:hAnsi="Arial"/>
          <w:sz w:val="22"/>
          <w:szCs w:val="22"/>
        </w:rPr>
      </w:pPr>
    </w:p>
    <w:p w14:paraId="00000021">
      <w:pPr>
        <w:pStyle w:val="NoSpacing"/>
        <w:rPr>
          <w:rFonts w:ascii="Arial" w:cs="Arial" w:hAnsi="Arial"/>
          <w:sz w:val="22"/>
          <w:szCs w:val="22"/>
        </w:rPr>
      </w:pPr>
      <w:r>
        <w:rPr>
          <w:rFonts w:ascii="Arial" w:cs="Arial" w:hAnsi="Arial"/>
          <w:sz w:val="22"/>
          <w:szCs w:val="22"/>
        </w:rPr>
        <w:t xml:space="preserve">Where more than one-third of the number of Councillors are disqualified from taking part in the discussion/decision at the same time, the quorum to be determined by reference to the number of Councillors remaining qualified to act. </w:t>
      </w:r>
    </w:p>
    <w:p w14:paraId="00000022">
      <w:pPr>
        <w:pStyle w:val="NoSpacing"/>
        <w:rPr>
          <w:rFonts w:ascii="Arial" w:cs="Arial" w:hAnsi="Arial"/>
          <w:sz w:val="22"/>
          <w:szCs w:val="22"/>
        </w:rPr>
      </w:pPr>
      <w:r>
        <w:rPr>
          <w:rFonts w:ascii="Arial" w:cs="Arial" w:hAnsi="Arial"/>
          <w:sz w:val="22"/>
          <w:szCs w:val="22"/>
        </w:rPr>
        <w:t>Voting – the usual manner of voting at a local council meeting to be by show of hands, however in certain circumstances, subject to the agreement by those members present, a secret ballot maybe in order.</w:t>
      </w:r>
    </w:p>
    <w:p w14:paraId="00000023">
      <w:pPr>
        <w:pStyle w:val="NoSpacing"/>
        <w:rPr>
          <w:rFonts w:ascii="Arial" w:cs="Arial" w:hAnsi="Arial"/>
          <w:sz w:val="22"/>
          <w:szCs w:val="22"/>
        </w:rPr>
      </w:pPr>
    </w:p>
    <w:p w14:paraId="00000024">
      <w:pPr>
        <w:pStyle w:val="NoSpacing"/>
        <w:spacing w:line="240"/>
        <w:rPr>
          <w:rFonts w:ascii="Arial" w:cs="Arial" w:hAnsi="Arial"/>
          <w:sz w:val="22"/>
          <w:szCs w:val="22"/>
        </w:rPr>
      </w:pPr>
      <w:r>
        <w:rPr>
          <w:rFonts w:ascii="Arial" w:cs="Arial" w:hAnsi="Arial"/>
          <w:sz w:val="22"/>
          <w:szCs w:val="22"/>
        </w:rPr>
        <w:t xml:space="preserve">Any Councillor may require the voting on any matter to be recorded in the Minutes. In the case of equality of votes, the Chairperson has a second or casting vote, as well as his/her original. </w:t>
      </w:r>
    </w:p>
    <w:p w14:paraId="00000025">
      <w:pPr>
        <w:pStyle w:val="NoSpacing"/>
        <w:rPr>
          <w:rFonts w:ascii="Arial" w:cs="Arial" w:hAnsi="Arial"/>
          <w:sz w:val="22"/>
          <w:szCs w:val="22"/>
        </w:rPr>
      </w:pPr>
    </w:p>
    <w:p w14:paraId="00000026">
      <w:pPr>
        <w:pStyle w:val="NoSpacing"/>
        <w:bidi w:val="off"/>
        <w:spacing w:line="276"/>
        <w:rPr>
          <w:rFonts w:ascii="Arial" w:cs="Arial" w:hAnsi="Arial"/>
          <w:b/>
          <w:bCs/>
          <w:sz w:val="22"/>
          <w:szCs w:val="22"/>
          <w:lang w:val="en-US"/>
        </w:rPr>
      </w:pPr>
      <w:r>
        <w:rPr>
          <w:rFonts w:ascii="Arial" w:cs="Arial" w:hAnsi="Arial"/>
          <w:b/>
          <w:bCs/>
          <w:sz w:val="22"/>
          <w:szCs w:val="22"/>
          <w:rtl w:val="off"/>
          <w:lang w:val="en-US"/>
        </w:rPr>
        <w:t>ROLES &amp; RESPONSIBILITIES</w:t>
      </w:r>
    </w:p>
    <w:p w14:paraId="00000027">
      <w:pPr>
        <w:pStyle w:val="NoSpacing"/>
        <w:rPr>
          <w:rFonts w:ascii="Arial" w:cs="Arial" w:hAnsi="Arial"/>
          <w:sz w:val="22"/>
          <w:szCs w:val="22"/>
        </w:rPr>
      </w:pPr>
      <w:r>
        <w:rPr>
          <w:rFonts w:ascii="Arial" w:cs="Arial" w:hAnsi="Arial"/>
          <w:sz w:val="22"/>
          <w:szCs w:val="22"/>
        </w:rPr>
        <w:t>Election of Chairperson and Vice</w:t>
      </w:r>
      <w:r>
        <w:rPr>
          <w:rFonts w:ascii="Arial" w:cs="Arial" w:hAnsi="Arial"/>
          <w:sz w:val="22"/>
          <w:szCs w:val="22"/>
        </w:rPr>
        <w:t>-</w:t>
      </w:r>
      <w:r>
        <w:rPr>
          <w:rFonts w:ascii="Arial" w:cs="Arial" w:hAnsi="Arial"/>
          <w:sz w:val="22"/>
          <w:szCs w:val="22"/>
        </w:rPr>
        <w:t xml:space="preserve">Chairperson to take place annually at the Annual General Meeting of the Community Council. </w:t>
      </w:r>
    </w:p>
    <w:p w14:paraId="00000028">
      <w:pPr>
        <w:pStyle w:val="NoSpacing"/>
        <w:rPr>
          <w:rFonts w:ascii="Arial" w:cs="Arial" w:hAnsi="Arial"/>
          <w:sz w:val="22"/>
          <w:szCs w:val="22"/>
        </w:rPr>
      </w:pPr>
    </w:p>
    <w:p w14:paraId="00000029">
      <w:pPr>
        <w:pStyle w:val="NoSpacing"/>
        <w:bidi w:val="off"/>
        <w:rPr>
          <w:rFonts w:ascii="Arial" w:cs="Arial" w:hAnsi="Arial"/>
          <w:sz w:val="22"/>
          <w:szCs w:val="22"/>
        </w:rPr>
      </w:pPr>
      <w:r>
        <w:rPr>
          <w:rFonts w:ascii="Arial" w:cs="Arial" w:hAnsi="Arial"/>
          <w:sz w:val="22"/>
          <w:szCs w:val="22"/>
          <w:rtl w:val="off"/>
          <w:lang w:val="en-US"/>
        </w:rPr>
        <w:t>The Chairperson of the Council must preside at the meeting if present unless a declaration of interest is made. If the Chairperson is absent, the Vice-Chairperson will preside. In the event of both officials being absent, the councillors present will decide on the presiding officer.</w:t>
      </w:r>
      <w:r>
        <w:rPr>
          <w:rFonts w:ascii="Arial" w:cs="Arial" w:hAnsi="Arial"/>
          <w:sz w:val="22"/>
          <w:szCs w:val="22"/>
        </w:rPr>
        <w:t xml:space="preserve"> It will be usual for the Clerk to ask for nominations from those members present to elect a chair. </w:t>
      </w:r>
    </w:p>
    <w:p w14:paraId="0000002A">
      <w:pPr>
        <w:pStyle w:val="NoSpacing"/>
        <w:bidi w:val="off"/>
        <w:rPr>
          <w:rFonts w:ascii="Arial" w:cs="Arial" w:hAnsi="Arial"/>
          <w:sz w:val="22"/>
          <w:szCs w:val="22"/>
        </w:rPr>
      </w:pPr>
    </w:p>
    <w:p w14:paraId="0000002B">
      <w:pPr>
        <w:pStyle w:val="NoSpacing"/>
        <w:bidi w:val="off"/>
        <w:rPr>
          <w:rFonts w:ascii="Arial" w:cs="Arial" w:hAnsi="Arial"/>
          <w:sz w:val="22"/>
          <w:szCs w:val="22"/>
          <w:lang w:val="en-US"/>
        </w:rPr>
      </w:pPr>
      <w:r>
        <w:rPr>
          <w:rFonts w:ascii="Arial" w:cs="Arial" w:hAnsi="Arial"/>
          <w:sz w:val="22"/>
          <w:szCs w:val="22"/>
          <w:rtl w:val="off"/>
          <w:lang w:val="en-US"/>
        </w:rPr>
        <w:t xml:space="preserve">The Clerk is the </w:t>
      </w:r>
      <w:r>
        <w:rPr>
          <w:rFonts w:ascii="Arial" w:cs="Arial" w:hAnsi="Arial"/>
          <w:sz w:val="22"/>
          <w:szCs w:val="22"/>
          <w:rtl w:val="off"/>
          <w:lang w:val="en-US"/>
        </w:rPr>
        <w:t xml:space="preserve">Proper Officer </w:t>
      </w:r>
      <w:r>
        <w:rPr>
          <w:rFonts w:ascii="Arial" w:cs="Arial" w:hAnsi="Arial"/>
          <w:sz w:val="22"/>
          <w:szCs w:val="22"/>
          <w:rtl w:val="off"/>
          <w:lang w:val="en-US"/>
        </w:rPr>
        <w:t>responsible for implementing Council decisions, preparing agendas, recording minutes, and managing correspondence.</w:t>
      </w:r>
    </w:p>
    <w:p w14:paraId="0000002C">
      <w:pPr>
        <w:pStyle w:val="NoSpacing"/>
        <w:bidi w:val="off"/>
        <w:rPr>
          <w:rFonts w:ascii="Arial" w:cs="Arial" w:hAnsi="Arial"/>
          <w:sz w:val="22"/>
          <w:szCs w:val="22"/>
          <w:rtl w:val="off"/>
          <w:lang w:val="en-US"/>
        </w:rPr>
      </w:pPr>
    </w:p>
    <w:p w14:paraId="0000002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sz w:val="22"/>
          <w:szCs w:val="22"/>
          <w:rtl w:val="off"/>
          <w:lang w:val="en-US"/>
        </w:rPr>
      </w:pPr>
      <w:r>
        <w:rPr>
          <w:rFonts w:ascii="Arial" w:cs="Arial" w:hAnsi="Arial"/>
          <w:sz w:val="22"/>
          <w:szCs w:val="22"/>
          <w:rtl w:val="off"/>
          <w:lang w:val="en-US"/>
        </w:rPr>
        <w:t xml:space="preserve">The Clerk may be delegated certain decision-making powers in line with the </w:t>
      </w:r>
      <w:r>
        <w:rPr>
          <w:rFonts w:ascii="Arial" w:cs="Arial" w:hAnsi="Arial"/>
          <w:sz w:val="22"/>
          <w:szCs w:val="22"/>
          <w:rtl w:val="off"/>
          <w:lang w:val="en-US"/>
        </w:rPr>
        <w:t>Scheme of Delegation</w:t>
      </w:r>
      <w:r>
        <w:rPr>
          <w:rFonts w:ascii="Arial" w:cs="Arial" w:hAnsi="Arial"/>
          <w:sz w:val="22"/>
          <w:szCs w:val="22"/>
          <w:rtl w:val="off"/>
          <w:lang w:val="en-US"/>
        </w:rPr>
        <w:t>.</w:t>
      </w:r>
    </w:p>
    <w:p w14:paraId="0000002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rtl w:val="off"/>
          <w:lang w:val="en-US"/>
        </w:rPr>
      </w:pPr>
    </w:p>
    <w:p w14:paraId="0000002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b w:val="off"/>
          <w:bCs w:val="off"/>
          <w:sz w:val="22"/>
          <w:szCs w:val="22"/>
          <w:lang w:val="en-US"/>
        </w:rPr>
      </w:pPr>
      <w:r>
        <w:rPr>
          <w:rFonts w:ascii="Arial" w:cs="Arial" w:hAnsi="Arial"/>
          <w:b w:val="off"/>
          <w:bCs w:val="off"/>
          <w:color w:val="000000"/>
          <w:sz w:val="22"/>
          <w:szCs w:val="22"/>
          <w:rtl w:val="off"/>
          <w:lang w:val="en-US"/>
        </w:rPr>
        <w:t xml:space="preserve">In the </w:t>
      </w:r>
      <w:r>
        <w:rPr>
          <w:rFonts w:ascii="Arial" w:cs="Arial" w:hAnsi="Arial"/>
          <w:b w:val="off"/>
          <w:bCs w:val="off"/>
          <w:color w:val="000000"/>
          <w:sz w:val="22"/>
          <w:szCs w:val="22"/>
          <w:rtl w:val="off"/>
          <w:lang w:val="en-US"/>
        </w:rPr>
        <w:t>absence of the Clerk</w:t>
      </w:r>
      <w:r>
        <w:rPr>
          <w:rFonts w:ascii="Arial" w:cs="Arial" w:hAnsi="Arial"/>
          <w:b w:val="off"/>
          <w:bCs w:val="off"/>
          <w:color w:val="000000"/>
          <w:sz w:val="22"/>
          <w:szCs w:val="22"/>
          <w:rtl w:val="off"/>
          <w:lang w:val="en-US"/>
        </w:rPr>
        <w:t xml:space="preserve">, the </w:t>
      </w:r>
      <w:r>
        <w:rPr>
          <w:rFonts w:ascii="Arial" w:cs="Arial" w:hAnsi="Arial"/>
          <w:b w:val="off"/>
          <w:bCs w:val="off"/>
          <w:color w:val="000000"/>
          <w:sz w:val="22"/>
          <w:szCs w:val="22"/>
          <w:rtl w:val="off"/>
          <w:lang w:val="en-US"/>
        </w:rPr>
        <w:t xml:space="preserve">Chairperson </w:t>
      </w:r>
      <w:r>
        <w:rPr>
          <w:rFonts w:ascii="Arial" w:cs="Arial" w:hAnsi="Arial"/>
          <w:b w:val="off"/>
          <w:bCs w:val="off"/>
          <w:color w:val="000000"/>
          <w:sz w:val="22"/>
          <w:szCs w:val="22"/>
          <w:rtl w:val="off"/>
          <w:lang w:val="en-US"/>
        </w:rPr>
        <w:t xml:space="preserve">will seek advice from </w:t>
      </w:r>
      <w:r>
        <w:rPr>
          <w:rFonts w:ascii="Arial" w:cs="Arial" w:hAnsi="Arial"/>
          <w:b w:val="off"/>
          <w:bCs w:val="off"/>
          <w:color w:val="000000"/>
          <w:sz w:val="22"/>
          <w:szCs w:val="22"/>
          <w:rtl w:val="off"/>
          <w:lang w:val="en-US"/>
        </w:rPr>
        <w:t xml:space="preserve">One Voice Wales </w:t>
      </w:r>
      <w:r>
        <w:rPr>
          <w:rFonts w:ascii="Arial" w:cs="Arial" w:hAnsi="Arial"/>
          <w:b w:val="off"/>
          <w:bCs w:val="off"/>
          <w:color w:val="000000"/>
          <w:sz w:val="22"/>
          <w:szCs w:val="22"/>
          <w:rtl w:val="off"/>
          <w:lang w:val="en-US"/>
        </w:rPr>
        <w:t>and ensure continuity of administrative functions.</w:t>
      </w:r>
    </w:p>
    <w:p w14:paraId="00000030">
      <w:pPr>
        <w:pStyle w:val="NoSpacing"/>
        <w:bidi w:val="off"/>
        <w:rPr>
          <w:rFonts w:ascii="Arial" w:cs="Arial" w:hAnsi="Arial"/>
          <w:sz w:val="22"/>
          <w:szCs w:val="22"/>
          <w:lang w:val="en-US"/>
        </w:rPr>
      </w:pPr>
    </w:p>
    <w:p w14:paraId="00000031">
      <w:pPr>
        <w:pStyle w:val="NoSpacing"/>
        <w:bidi w:val="off"/>
        <w:rPr>
          <w:rFonts w:ascii="Arial" w:cs="Arial" w:hAnsi="Arial"/>
          <w:sz w:val="22"/>
          <w:szCs w:val="22"/>
          <w:lang w:val="en-US"/>
        </w:rPr>
      </w:pPr>
      <w:r>
        <w:rPr>
          <w:rFonts w:ascii="Arial" w:cs="Arial" w:hAnsi="Arial"/>
          <w:sz w:val="22"/>
          <w:szCs w:val="22"/>
          <w:rtl w:val="off"/>
          <w:lang w:val="en-US"/>
        </w:rPr>
        <w:t>Councillors m</w:t>
      </w:r>
      <w:r>
        <w:rPr>
          <w:rFonts w:ascii="Arial" w:cs="Arial" w:hAnsi="Arial"/>
          <w:sz w:val="22"/>
          <w:szCs w:val="22"/>
          <w:rtl w:val="off"/>
          <w:lang w:val="en-US"/>
        </w:rPr>
        <w:t xml:space="preserve">ust </w:t>
      </w:r>
      <w:r>
        <w:rPr>
          <w:rFonts w:ascii="Arial" w:cs="Arial" w:hAnsi="Arial"/>
          <w:sz w:val="22"/>
          <w:szCs w:val="22"/>
          <w:rtl w:val="off"/>
          <w:lang w:val="en-US"/>
        </w:rPr>
        <w:t>attend meetings regularly</w:t>
      </w:r>
      <w:r>
        <w:rPr>
          <w:rFonts w:ascii="Arial" w:cs="Arial" w:hAnsi="Arial"/>
          <w:sz w:val="22"/>
          <w:szCs w:val="22"/>
          <w:rtl w:val="off"/>
          <w:lang w:val="en-US"/>
        </w:rPr>
        <w:t xml:space="preserve">, represent the community, and uphold the </w:t>
      </w:r>
      <w:r>
        <w:rPr>
          <w:rFonts w:ascii="Arial" w:cs="Arial" w:hAnsi="Arial"/>
          <w:sz w:val="22"/>
          <w:szCs w:val="22"/>
          <w:rtl w:val="off"/>
          <w:lang w:val="en-US"/>
        </w:rPr>
        <w:t>Code of Conduct</w:t>
      </w:r>
      <w:r>
        <w:rPr>
          <w:rFonts w:ascii="Arial" w:cs="Arial" w:hAnsi="Arial"/>
          <w:sz w:val="22"/>
          <w:szCs w:val="22"/>
          <w:rtl w:val="off"/>
          <w:lang w:val="en-US"/>
        </w:rPr>
        <w:t>.</w:t>
      </w:r>
    </w:p>
    <w:p w14:paraId="00000032">
      <w:pPr>
        <w:pStyle w:val="NoSpacing"/>
        <w:bidi w:val="off"/>
        <w:rPr>
          <w:rFonts w:ascii="Arial" w:cs="Arial" w:hAnsi="Arial"/>
          <w:sz w:val="22"/>
          <w:szCs w:val="22"/>
          <w:lang w:val="en-US"/>
        </w:rPr>
      </w:pPr>
    </w:p>
    <w:p w14:paraId="00000033">
      <w:pPr>
        <w:pStyle w:val="NoSpacing"/>
        <w:rPr>
          <w:rFonts w:ascii="Arial" w:cs="Arial" w:hAnsi="Arial"/>
          <w:sz w:val="22"/>
          <w:szCs w:val="22"/>
        </w:rPr>
      </w:pPr>
      <w:r>
        <w:rPr>
          <w:rFonts w:ascii="Arial" w:cs="Arial" w:hAnsi="Arial"/>
          <w:sz w:val="22"/>
          <w:szCs w:val="22"/>
        </w:rPr>
        <w:t>Register of Members Interest to be compiled by Clerk. Disclosure of interests to be responsibility of individual members.</w:t>
      </w:r>
    </w:p>
    <w:p w14:paraId="00000034">
      <w:pPr>
        <w:pStyle w:val="NoSpacing"/>
        <w:rPr>
          <w:rFonts w:ascii="Arial" w:cs="Arial" w:hAnsi="Arial"/>
          <w:sz w:val="22"/>
          <w:szCs w:val="22"/>
        </w:rPr>
      </w:pPr>
    </w:p>
    <w:p w14:paraId="00000035">
      <w:pPr>
        <w:pStyle w:val="NoSpacing"/>
        <w:rPr>
          <w:rFonts w:ascii="Arial" w:cs="Arial" w:hAnsi="Arial"/>
          <w:sz w:val="22"/>
          <w:szCs w:val="22"/>
          <w:rtl w:val="off"/>
          <w:lang w:val="en-US"/>
        </w:rPr>
      </w:pPr>
      <w:r>
        <w:rPr>
          <w:rFonts w:ascii="Arial" w:cs="Arial" w:hAnsi="Arial"/>
          <w:sz w:val="22"/>
          <w:szCs w:val="22"/>
          <w:highlight w:val="none"/>
        </w:rPr>
        <w:t>Acceptance of office forms to be completed by all councillors.</w:t>
      </w:r>
    </w:p>
    <w:p w14:paraId="00000036">
      <w:pPr>
        <w:pStyle w:val="NoSpacing"/>
        <w:bidi w:val="off"/>
        <w:rPr>
          <w:rFonts w:ascii="Arial" w:cs="Arial" w:hAnsi="Arial"/>
          <w:sz w:val="22"/>
          <w:szCs w:val="22"/>
          <w:rtl w:val="off"/>
          <w:lang w:val="en-US"/>
        </w:rPr>
      </w:pPr>
    </w:p>
    <w:p w14:paraId="00000037">
      <w:pPr>
        <w:pStyle w:val="NoSpacing"/>
        <w:bidi w:val="off"/>
        <w:spacing w:line="276"/>
        <w:rPr>
          <w:rFonts w:ascii="Arial" w:cs="Arial" w:hAnsi="Arial"/>
          <w:sz w:val="22"/>
          <w:szCs w:val="22"/>
          <w:rtl w:val="off"/>
          <w:lang w:val="en-US"/>
        </w:rPr>
      </w:pPr>
      <w:r>
        <w:rPr>
          <w:rFonts w:ascii="Arial" w:cs="Arial" w:hAnsi="Arial"/>
          <w:b/>
          <w:bCs/>
          <w:sz w:val="22"/>
          <w:szCs w:val="22"/>
          <w:rtl w:val="off"/>
          <w:lang w:val="en-US"/>
        </w:rPr>
        <w:t>FINANCIAL MANAGEMENT</w:t>
      </w:r>
    </w:p>
    <w:p w14:paraId="00000038">
      <w:pPr>
        <w:pStyle w:val="NoSpacing"/>
        <w:bidi w:val="off"/>
        <w:rPr>
          <w:rFonts w:ascii="Arial" w:cs="Arial" w:hAnsi="Arial"/>
          <w:sz w:val="22"/>
          <w:szCs w:val="22"/>
          <w:lang w:val="en-US"/>
        </w:rPr>
      </w:pPr>
      <w:r>
        <w:rPr>
          <w:rFonts w:ascii="Arial" w:cs="Arial" w:hAnsi="Arial"/>
          <w:sz w:val="22"/>
          <w:szCs w:val="22"/>
          <w:rtl w:val="off"/>
          <w:lang w:val="en-US"/>
        </w:rPr>
        <w:t xml:space="preserve">The Council is responsible for preparing an annual Statement of Accounts, in accordance with the requirements of the Accounts and Audit (Wales) Regulations, as well as proper accounting practices. </w:t>
      </w:r>
    </w:p>
    <w:p w14:paraId="00000039">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Segoe UI"/>
          <w:color w:val="000000"/>
          <w:sz w:val="18"/>
          <w:rtl w:val="off"/>
          <w:lang w:val="en-US"/>
        </w:rPr>
      </w:pPr>
    </w:p>
    <w:p w14:paraId="0000003A">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Arial" w:cs="Arial" w:hAnsi="Arial"/>
          <w:b w:val="off"/>
          <w:bCs w:val="off"/>
          <w:color w:val="000000"/>
          <w:sz w:val="22"/>
          <w:szCs w:val="26"/>
          <w:lang w:val="en-US"/>
        </w:rPr>
      </w:pPr>
      <w:r>
        <w:rPr>
          <w:rFonts w:ascii="Arial" w:cs="Arial" w:hAnsi="Arial"/>
          <w:b w:val="off"/>
          <w:bCs w:val="off"/>
          <w:color w:val="000000"/>
          <w:sz w:val="22"/>
          <w:szCs w:val="26"/>
          <w:rtl w:val="off"/>
          <w:lang w:val="en-US"/>
        </w:rPr>
        <w:t xml:space="preserve">Financial transactions must adhere to the Council’s </w:t>
      </w:r>
      <w:r>
        <w:rPr>
          <w:rFonts w:ascii="Arial" w:cs="Arial" w:hAnsi="Arial"/>
          <w:b w:val="off"/>
          <w:bCs w:val="off"/>
          <w:color w:val="000000"/>
          <w:sz w:val="22"/>
          <w:szCs w:val="26"/>
          <w:rtl w:val="off"/>
          <w:lang w:val="en-US"/>
        </w:rPr>
        <w:t>Financial Regulations</w:t>
      </w:r>
      <w:r>
        <w:rPr>
          <w:rFonts w:ascii="Arial" w:cs="Arial" w:hAnsi="Arial"/>
          <w:b w:val="off"/>
          <w:bCs w:val="off"/>
          <w:color w:val="000000"/>
          <w:sz w:val="22"/>
          <w:szCs w:val="26"/>
          <w:rtl w:val="off"/>
          <w:lang w:val="en-US"/>
        </w:rPr>
        <w:t>.</w:t>
      </w:r>
    </w:p>
    <w:p w14:paraId="0000003B">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Arial" w:cs="Arial" w:hAnsi="Arial"/>
          <w:b w:val="off"/>
          <w:bCs w:val="off"/>
          <w:color w:val="000000"/>
          <w:sz w:val="22"/>
          <w:szCs w:val="26"/>
          <w:rtl w:val="off"/>
          <w:lang w:val="en-US"/>
        </w:rPr>
      </w:pPr>
    </w:p>
    <w:p w14:paraId="0000003C">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Arial" w:cs="Arial" w:hAnsi="Arial"/>
          <w:b w:val="off"/>
          <w:bCs w:val="off"/>
          <w:color w:val="000000"/>
          <w:sz w:val="22"/>
          <w:szCs w:val="26"/>
          <w:lang w:val="en-US"/>
        </w:rPr>
      </w:pPr>
      <w:r>
        <w:rPr>
          <w:rFonts w:ascii="Arial" w:cs="Arial" w:hAnsi="Arial"/>
          <w:b w:val="off"/>
          <w:bCs w:val="off"/>
          <w:color w:val="000000"/>
          <w:sz w:val="22"/>
          <w:szCs w:val="26"/>
          <w:rtl w:val="off"/>
          <w:lang w:val="en-US"/>
        </w:rPr>
        <w:t xml:space="preserve">Bank reconciliations </w:t>
      </w:r>
      <w:r>
        <w:rPr>
          <w:rFonts w:ascii="Arial" w:cs="Arial" w:hAnsi="Arial"/>
          <w:b w:val="off"/>
          <w:bCs w:val="off"/>
          <w:color w:val="000000"/>
          <w:sz w:val="22"/>
          <w:szCs w:val="26"/>
          <w:rtl w:val="off"/>
          <w:lang w:val="en-US"/>
        </w:rPr>
        <w:t xml:space="preserve">are conducted monthly and reviewed by the </w:t>
      </w:r>
      <w:r>
        <w:rPr>
          <w:rFonts w:ascii="Arial" w:cs="Arial" w:hAnsi="Arial"/>
          <w:b w:val="off"/>
          <w:bCs w:val="off"/>
          <w:color w:val="000000"/>
          <w:sz w:val="22"/>
          <w:szCs w:val="26"/>
          <w:rtl w:val="off"/>
          <w:lang w:val="en-US"/>
        </w:rPr>
        <w:t>Chairperson</w:t>
      </w:r>
      <w:r>
        <w:rPr>
          <w:rFonts w:ascii="Arial" w:cs="Arial" w:hAnsi="Arial"/>
          <w:b w:val="off"/>
          <w:bCs w:val="off"/>
          <w:color w:val="000000"/>
          <w:sz w:val="22"/>
          <w:szCs w:val="26"/>
          <w:rtl w:val="off"/>
          <w:lang w:val="en-US"/>
        </w:rPr>
        <w:t xml:space="preserve">, with an annual review by the </w:t>
      </w:r>
      <w:r>
        <w:rPr>
          <w:rFonts w:ascii="Arial" w:cs="Arial" w:hAnsi="Arial"/>
          <w:b w:val="off"/>
          <w:bCs w:val="off"/>
          <w:color w:val="000000"/>
          <w:sz w:val="22"/>
          <w:szCs w:val="26"/>
          <w:rtl w:val="off"/>
          <w:lang w:val="en-US"/>
        </w:rPr>
        <w:t>Internal Auditor</w:t>
      </w:r>
      <w:r>
        <w:rPr>
          <w:rFonts w:ascii="Arial" w:cs="Arial" w:hAnsi="Arial"/>
          <w:b w:val="off"/>
          <w:bCs w:val="off"/>
          <w:color w:val="000000"/>
          <w:sz w:val="22"/>
          <w:szCs w:val="26"/>
          <w:rtl w:val="off"/>
          <w:lang w:val="en-US"/>
        </w:rPr>
        <w:t>.</w:t>
      </w:r>
    </w:p>
    <w:p w14:paraId="0000003D">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Arial" w:cs="Arial" w:hAnsi="Arial"/>
          <w:b w:val="off"/>
          <w:bCs w:val="off"/>
          <w:color w:val="000000"/>
          <w:sz w:val="22"/>
          <w:szCs w:val="26"/>
          <w:rtl w:val="off"/>
          <w:lang w:val="en-US"/>
        </w:rPr>
      </w:pPr>
    </w:p>
    <w:p w14:paraId="0000003E">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Arial" w:cs="Arial" w:hAnsi="Arial"/>
          <w:sz w:val="22"/>
          <w:szCs w:val="22"/>
          <w:lang w:val="en-US"/>
        </w:rPr>
      </w:pPr>
      <w:r>
        <w:rPr>
          <w:rFonts w:ascii="Arial" w:cs="Arial" w:hAnsi="Arial"/>
          <w:b w:val="off"/>
          <w:bCs w:val="off"/>
          <w:color w:val="000000"/>
          <w:sz w:val="22"/>
          <w:szCs w:val="26"/>
          <w:rtl w:val="off"/>
          <w:lang w:val="en-US"/>
        </w:rPr>
        <w:t xml:space="preserve">The Council maintains appropriate </w:t>
      </w:r>
      <w:r>
        <w:rPr>
          <w:rFonts w:ascii="Arial" w:cs="Arial" w:hAnsi="Arial"/>
          <w:b w:val="off"/>
          <w:bCs w:val="off"/>
          <w:color w:val="000000"/>
          <w:sz w:val="22"/>
          <w:szCs w:val="26"/>
          <w:rtl w:val="off"/>
          <w:lang w:val="en-US"/>
        </w:rPr>
        <w:t>insurance coverage</w:t>
      </w:r>
      <w:r>
        <w:rPr>
          <w:rFonts w:ascii="Arial" w:cs="Arial" w:hAnsi="Arial"/>
          <w:b w:val="off"/>
          <w:bCs w:val="off"/>
          <w:color w:val="000000"/>
          <w:sz w:val="22"/>
          <w:szCs w:val="26"/>
          <w:rtl w:val="off"/>
          <w:lang w:val="en-US"/>
        </w:rPr>
        <w:t xml:space="preserve">, including </w:t>
      </w:r>
      <w:r>
        <w:rPr>
          <w:rFonts w:ascii="Arial" w:cs="Arial" w:hAnsi="Arial"/>
          <w:b w:val="off"/>
          <w:bCs w:val="off"/>
          <w:color w:val="000000"/>
          <w:sz w:val="22"/>
          <w:szCs w:val="26"/>
          <w:rtl w:val="off"/>
          <w:lang w:val="en-US"/>
        </w:rPr>
        <w:t>public liability, asset protection, and employer’s liability</w:t>
      </w:r>
      <w:r>
        <w:rPr>
          <w:rFonts w:ascii="Arial" w:cs="Arial" w:hAnsi="Arial"/>
          <w:b w:val="off"/>
          <w:bCs w:val="off"/>
          <w:color w:val="000000"/>
          <w:sz w:val="22"/>
          <w:szCs w:val="26"/>
          <w:rtl w:val="off"/>
          <w:lang w:val="en-US"/>
        </w:rPr>
        <w:t xml:space="preserve">, with an </w:t>
      </w:r>
      <w:r>
        <w:rPr>
          <w:rFonts w:ascii="Arial" w:cs="Arial" w:hAnsi="Arial"/>
          <w:b w:val="off"/>
          <w:bCs w:val="off"/>
          <w:color w:val="000000"/>
          <w:sz w:val="22"/>
          <w:szCs w:val="26"/>
          <w:rtl w:val="off"/>
          <w:lang w:val="en-US"/>
        </w:rPr>
        <w:t xml:space="preserve">annual review </w:t>
      </w:r>
      <w:r>
        <w:rPr>
          <w:rFonts w:ascii="Arial" w:cs="Arial" w:hAnsi="Arial"/>
          <w:b w:val="off"/>
          <w:bCs w:val="off"/>
          <w:color w:val="000000"/>
          <w:sz w:val="22"/>
          <w:szCs w:val="26"/>
          <w:rtl w:val="off"/>
          <w:lang w:val="en-US"/>
        </w:rPr>
        <w:t>to ensure adequacy.</w:t>
      </w:r>
    </w:p>
    <w:p w14:paraId="0000003F">
      <w:pPr>
        <w:pStyle w:val="NoSpacing"/>
        <w:rPr>
          <w:rFonts w:ascii="Arial" w:cs="Arial" w:hAnsi="Arial"/>
          <w:sz w:val="22"/>
          <w:szCs w:val="22"/>
        </w:rPr>
      </w:pPr>
    </w:p>
    <w:p w14:paraId="00000040">
      <w:pPr>
        <w:pStyle w:val="NoSpacing"/>
        <w:bidi w:val="off"/>
        <w:spacing w:line="276"/>
        <w:rPr>
          <w:rFonts w:ascii="Arial" w:cs="Arial" w:hAnsi="Arial"/>
          <w:b/>
          <w:bCs/>
          <w:sz w:val="22"/>
          <w:szCs w:val="22"/>
          <w:lang w:val="en-US"/>
        </w:rPr>
      </w:pPr>
      <w:r>
        <w:rPr>
          <w:rFonts w:ascii="Arial" w:cs="Arial" w:hAnsi="Arial"/>
          <w:b/>
          <w:bCs/>
          <w:sz w:val="22"/>
          <w:szCs w:val="22"/>
          <w:rtl w:val="off"/>
          <w:lang w:val="en-US"/>
        </w:rPr>
        <w:t>PUBLIC &amp; PRESS PARTICIPATION</w:t>
      </w:r>
    </w:p>
    <w:p w14:paraId="00000041">
      <w:pPr>
        <w:pStyle w:val="NoSpacing"/>
        <w:bidi w:val="off"/>
        <w:rPr>
          <w:rFonts w:ascii="Arial" w:cs="Arial" w:hAnsi="Arial"/>
          <w:sz w:val="22"/>
          <w:szCs w:val="22"/>
          <w:lang w:val="en-US"/>
        </w:rPr>
      </w:pPr>
      <w:r>
        <w:rPr>
          <w:rFonts w:ascii="Arial" w:cs="Arial" w:hAnsi="Arial"/>
          <w:sz w:val="22"/>
          <w:szCs w:val="22"/>
          <w:rtl w:val="off"/>
          <w:lang w:val="en-US"/>
        </w:rPr>
        <w:t>Council meetings are generally open to the public and press. However, if a matter requires confidentiality, a resolution must be proposed by the Chairperson, seconded, and approved before excluding the public and press.</w:t>
      </w:r>
    </w:p>
    <w:p w14:paraId="00000042">
      <w:pPr>
        <w:pStyle w:val="NoSpacing"/>
        <w:bidi w:val="off"/>
        <w:rPr>
          <w:rFonts w:ascii="Arial" w:cs="Arial" w:hAnsi="Arial"/>
          <w:sz w:val="22"/>
          <w:szCs w:val="22"/>
          <w:lang w:val="en-US"/>
        </w:rPr>
      </w:pPr>
    </w:p>
    <w:p w14:paraId="00000043">
      <w:pPr>
        <w:pStyle w:val="NoSpacing"/>
        <w:bidi w:val="off"/>
        <w:rPr>
          <w:rFonts w:ascii="Arial" w:cs="Arial" w:hAnsi="Arial"/>
          <w:sz w:val="22"/>
          <w:szCs w:val="22"/>
          <w:lang w:val="en-US"/>
        </w:rPr>
      </w:pPr>
      <w:r>
        <w:rPr>
          <w:rFonts w:ascii="Arial" w:cs="Arial" w:hAnsi="Arial"/>
          <w:sz w:val="22"/>
          <w:szCs w:val="22"/>
          <w:rtl w:val="off"/>
          <w:lang w:val="en-US"/>
        </w:rPr>
        <w:t>Once the confidential discussion concludes, a summary statement should be provided upon their return, outlining the Council’s decision or any further action required.</w:t>
      </w:r>
    </w:p>
    <w:p w14:paraId="00000044">
      <w:pPr>
        <w:pStyle w:val="NoSpacing"/>
        <w:bidi w:val="off"/>
        <w:rPr>
          <w:rFonts w:ascii="Arial" w:cs="Arial" w:hAnsi="Arial"/>
          <w:sz w:val="22"/>
          <w:szCs w:val="22"/>
          <w:lang w:val="en-US"/>
        </w:rPr>
      </w:pPr>
    </w:p>
    <w:p w14:paraId="00000045">
      <w:pPr>
        <w:pStyle w:val="NoSpacing"/>
        <w:bidi w:val="off"/>
        <w:rPr>
          <w:rFonts w:ascii="Arial" w:cs="Arial" w:hAnsi="Arial"/>
          <w:sz w:val="22"/>
          <w:szCs w:val="22"/>
          <w:lang w:val="en-US"/>
        </w:rPr>
      </w:pPr>
      <w:r>
        <w:rPr>
          <w:rFonts w:ascii="Arial" w:cs="Arial" w:hAnsi="Arial"/>
          <w:sz w:val="22"/>
          <w:szCs w:val="22"/>
          <w:rtl w:val="off"/>
          <w:lang w:val="en-US"/>
        </w:rPr>
        <w:t xml:space="preserve">The </w:t>
      </w:r>
      <w:r>
        <w:rPr>
          <w:rFonts w:ascii="Arial" w:cs="Arial" w:hAnsi="Arial"/>
          <w:sz w:val="22"/>
          <w:szCs w:val="22"/>
          <w:rtl w:val="off"/>
          <w:lang w:val="en-US"/>
        </w:rPr>
        <w:t xml:space="preserve">Public Speaking Protocol </w:t>
      </w:r>
      <w:r>
        <w:rPr>
          <w:rFonts w:ascii="Arial" w:cs="Arial" w:hAnsi="Arial"/>
          <w:sz w:val="22"/>
          <w:szCs w:val="22"/>
          <w:rtl w:val="off"/>
          <w:lang w:val="en-US"/>
        </w:rPr>
        <w:t>applies to all meetings, ensuring fair and structured public participation</w:t>
      </w:r>
      <w:r>
        <w:rPr>
          <w:rFonts w:ascii="Arial" w:cs="Arial" w:hAnsi="Arial"/>
          <w:sz w:val="22"/>
          <w:szCs w:val="22"/>
          <w:rtl w:val="off"/>
          <w:lang w:val="en-US"/>
        </w:rPr>
        <w:t>.</w:t>
      </w:r>
    </w:p>
    <w:p w14:paraId="00000046">
      <w:pPr>
        <w:pStyle w:val="NoSpacing"/>
        <w:bidi w:val="off"/>
        <w:rPr>
          <w:rFonts w:ascii="Arial" w:cs="Arial" w:hAnsi="Arial"/>
          <w:sz w:val="22"/>
          <w:szCs w:val="22"/>
          <w:rtl w:val="off"/>
          <w:lang w:val="en-US"/>
        </w:rPr>
      </w:pPr>
    </w:p>
    <w:p w14:paraId="00000047">
      <w:pPr>
        <w:pStyle w:val="NoSpacing"/>
        <w:bidi w:val="off"/>
        <w:spacing w:line="276"/>
        <w:rPr>
          <w:rFonts w:ascii="Arial" w:cs="Arial" w:hAnsi="Arial"/>
          <w:sz w:val="22"/>
          <w:szCs w:val="22"/>
          <w:lang w:val="en-US"/>
        </w:rPr>
      </w:pPr>
      <w:r>
        <w:rPr>
          <w:rFonts w:ascii="Arial" w:cs="Arial" w:hAnsi="Arial"/>
          <w:b/>
          <w:bCs/>
          <w:sz w:val="22"/>
          <w:szCs w:val="22"/>
          <w:rtl w:val="off"/>
          <w:lang w:val="en-US"/>
        </w:rPr>
        <w:t>CONTRACT WORK &amp; PROCUREMENT</w:t>
      </w:r>
    </w:p>
    <w:p w14:paraId="00000048">
      <w:pPr>
        <w:pStyle w:val="NoSpacing"/>
        <w:rPr>
          <w:rFonts w:ascii="Arial" w:cs="Arial" w:hAnsi="Arial"/>
          <w:sz w:val="22"/>
          <w:szCs w:val="22"/>
        </w:rPr>
      </w:pPr>
      <w:r>
        <w:rPr>
          <w:rFonts w:ascii="Arial" w:cs="Arial" w:hAnsi="Arial"/>
          <w:sz w:val="22"/>
          <w:szCs w:val="22"/>
        </w:rPr>
        <w:t xml:space="preserve">All contract work to be put out to tender every two years. </w:t>
      </w:r>
      <w:r>
        <w:rPr>
          <w:rFonts w:ascii="Arial" w:cs="Arial" w:hAnsi="Arial"/>
          <w:sz w:val="22"/>
          <w:szCs w:val="22"/>
        </w:rPr>
        <w:t xml:space="preserve">Notice of contract shall state the general nature of the intended contract and shall state the name and address of the Clerk to whom tenders are to be addressed and the last date by which those tenders should reach the Clerk in the ordinary course of post.   </w:t>
      </w:r>
    </w:p>
    <w:p w14:paraId="00000049">
      <w:pPr>
        <w:pStyle w:val="NoSpacing"/>
        <w:rPr>
          <w:rFonts w:ascii="Arial" w:cs="Arial" w:hAnsi="Arial"/>
          <w:sz w:val="22"/>
          <w:szCs w:val="22"/>
        </w:rPr>
      </w:pPr>
      <w:r>
        <w:rPr>
          <w:rFonts w:ascii="Arial" w:cs="Arial" w:hAnsi="Arial"/>
          <w:sz w:val="22"/>
          <w:szCs w:val="22"/>
        </w:rPr>
        <w:t xml:space="preserve">                                                   </w:t>
      </w:r>
    </w:p>
    <w:p w14:paraId="0000004A">
      <w:pPr>
        <w:pStyle w:val="NoSpacing"/>
        <w:rPr>
          <w:rFonts w:ascii="Arial" w:cs="Arial" w:hAnsi="Arial"/>
          <w:sz w:val="22"/>
          <w:szCs w:val="22"/>
        </w:rPr>
      </w:pPr>
      <w:r>
        <w:rPr>
          <w:rFonts w:ascii="Arial" w:cs="Arial" w:hAnsi="Arial"/>
          <w:sz w:val="22"/>
          <w:szCs w:val="22"/>
        </w:rPr>
        <w:t xml:space="preserve">Tenders shall be opened at the same time by the Clerk on the date specified. The </w:t>
      </w:r>
      <w:r>
        <w:rPr>
          <w:rFonts w:ascii="Arial" w:cs="Arial" w:hAnsi="Arial"/>
          <w:sz w:val="22"/>
          <w:szCs w:val="22"/>
          <w:rtl w:val="off"/>
          <w:lang w:val="en-US"/>
        </w:rPr>
        <w:t xml:space="preserve">Council is not obligated to accept the lowest tender and may select the best value for money proposal based on criteria such as quality, experience, and service. </w:t>
      </w:r>
      <w:r>
        <w:rPr>
          <w:rFonts w:ascii="Arial" w:cs="Arial" w:hAnsi="Arial"/>
          <w:sz w:val="22"/>
          <w:szCs w:val="22"/>
        </w:rPr>
        <w:t xml:space="preserve"> </w:t>
      </w:r>
    </w:p>
    <w:p w14:paraId="0000004B">
      <w:pPr>
        <w:pStyle w:val="NoSpacing"/>
        <w:rPr>
          <w:rFonts w:ascii="Arial" w:cs="Arial" w:hAnsi="Arial"/>
          <w:sz w:val="22"/>
          <w:szCs w:val="22"/>
        </w:rPr>
      </w:pPr>
      <w:r>
        <w:rPr>
          <w:rFonts w:ascii="Arial" w:cs="Arial" w:hAnsi="Arial"/>
          <w:sz w:val="22"/>
          <w:szCs w:val="22"/>
        </w:rPr>
        <w:t xml:space="preserve"> </w:t>
      </w:r>
      <w:r>
        <w:rPr>
          <w:rFonts w:ascii="Arial" w:cs="Arial" w:hAnsi="Arial"/>
          <w:sz w:val="22"/>
          <w:szCs w:val="22"/>
        </w:rPr>
        <w:t xml:space="preserve">                                                                  </w:t>
      </w:r>
    </w:p>
    <w:p w14:paraId="0000004C">
      <w:pPr>
        <w:pStyle w:val="NoSpacing"/>
        <w:bidi w:val="off"/>
        <w:rPr>
          <w:rFonts w:ascii="Arial" w:cs="Arial" w:hAnsi="Arial"/>
          <w:sz w:val="22"/>
          <w:szCs w:val="22"/>
        </w:rPr>
      </w:pPr>
      <w:r>
        <w:rPr>
          <w:rFonts w:ascii="Arial" w:cs="Arial" w:hAnsi="Arial"/>
          <w:sz w:val="22"/>
          <w:szCs w:val="22"/>
        </w:rPr>
        <w:t xml:space="preserve">If no tenders are received, or if all the tenders are identical, the Council may make such arrangements for executing the work as it thinks fit. </w:t>
      </w:r>
    </w:p>
    <w:p w14:paraId="0000004D">
      <w:pPr>
        <w:pStyle w:val="NoSpacing"/>
        <w:bidi w:val="off"/>
        <w:rPr>
          <w:rFonts w:ascii="Arial" w:cs="Arial" w:hAnsi="Arial"/>
          <w:sz w:val="22"/>
          <w:szCs w:val="22"/>
          <w:rtl w:val="off"/>
          <w:lang w:val="en-US"/>
        </w:rPr>
      </w:pPr>
    </w:p>
    <w:p w14:paraId="0000004E">
      <w:pPr>
        <w:pStyle w:val="NoSpacing"/>
        <w:bidi w:val="off"/>
        <w:spacing w:line="276"/>
        <w:rPr>
          <w:rFonts w:ascii="Arial" w:cs="Arial" w:hAnsi="Arial"/>
          <w:sz w:val="22"/>
          <w:szCs w:val="22"/>
          <w:rtl w:val="off"/>
          <w:lang w:val="en-US"/>
        </w:rPr>
      </w:pPr>
      <w:r>
        <w:rPr>
          <w:rFonts w:ascii="Arial" w:cs="Arial" w:hAnsi="Arial"/>
          <w:b/>
          <w:bCs/>
          <w:sz w:val="22"/>
          <w:szCs w:val="22"/>
          <w:rtl w:val="off"/>
          <w:lang w:val="en-US"/>
        </w:rPr>
        <w:t>HANDLING URGENT BUSINESS</w:t>
      </w:r>
    </w:p>
    <w:p w14:paraId="0000004F">
      <w:pPr>
        <w:pStyle w:val="NoSpacing"/>
        <w:bidi w:val="off"/>
        <w:rPr>
          <w:rFonts w:ascii="Arial" w:cs="Arial" w:hAnsi="Arial"/>
          <w:sz w:val="22"/>
          <w:szCs w:val="22"/>
          <w:lang w:val="en-US"/>
        </w:rPr>
      </w:pPr>
      <w:r>
        <w:rPr>
          <w:rFonts w:ascii="Arial" w:cs="Arial" w:hAnsi="Arial"/>
          <w:sz w:val="22"/>
          <w:szCs w:val="22"/>
          <w:rtl w:val="off"/>
          <w:lang w:val="en-US"/>
        </w:rPr>
        <w:t xml:space="preserve">If an urgent decision is required between meetings, the </w:t>
      </w:r>
      <w:r>
        <w:rPr>
          <w:rFonts w:ascii="Arial" w:cs="Arial" w:hAnsi="Arial"/>
          <w:sz w:val="22"/>
          <w:szCs w:val="22"/>
          <w:rtl w:val="off"/>
          <w:lang w:val="en-US"/>
        </w:rPr>
        <w:t>Clerk may act under delegated authority</w:t>
      </w:r>
      <w:r>
        <w:rPr>
          <w:rFonts w:ascii="Arial" w:cs="Arial" w:hAnsi="Arial"/>
          <w:sz w:val="22"/>
          <w:szCs w:val="22"/>
          <w:rtl w:val="off"/>
          <w:lang w:val="en-US"/>
        </w:rPr>
        <w:t xml:space="preserve">, in consultation with the </w:t>
      </w:r>
      <w:r>
        <w:rPr>
          <w:rFonts w:ascii="Arial" w:cs="Arial" w:hAnsi="Arial"/>
          <w:sz w:val="22"/>
          <w:szCs w:val="22"/>
          <w:rtl w:val="off"/>
          <w:lang w:val="en-US"/>
        </w:rPr>
        <w:t>Chair and Vice-Chair</w:t>
      </w:r>
      <w:r>
        <w:rPr>
          <w:rFonts w:ascii="Arial" w:cs="Arial" w:hAnsi="Arial"/>
          <w:sz w:val="22"/>
          <w:szCs w:val="22"/>
          <w:rtl w:val="off"/>
          <w:lang w:val="en-US"/>
        </w:rPr>
        <w:t>, provided the action is reported at the next meeting.</w:t>
      </w:r>
    </w:p>
    <w:p w14:paraId="00000050">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Segoe UI"/>
          <w:color w:val="000000"/>
          <w:sz w:val="18"/>
          <w:rtl w:val="off"/>
          <w:lang w:val="en-US"/>
        </w:rPr>
      </w:pPr>
    </w:p>
    <w:p w14:paraId="00000051">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right="0"/>
        <w:jc w:val="left"/>
        <w:rPr>
          <w:rFonts w:ascii="Arial" w:cs="Arial" w:hAnsi="Arial"/>
          <w:sz w:val="22"/>
          <w:szCs w:val="22"/>
          <w:lang w:val="en-US"/>
        </w:rPr>
      </w:pPr>
      <w:r>
        <w:rPr>
          <w:rFonts w:ascii="Arial" w:cs="Arial" w:hAnsi="Arial"/>
          <w:b w:val="off"/>
          <w:bCs w:val="off"/>
          <w:color w:val="000000"/>
          <w:sz w:val="22"/>
          <w:szCs w:val="22"/>
          <w:rtl w:val="off"/>
          <w:lang w:val="en-US"/>
        </w:rPr>
        <w:t xml:space="preserve">The Clerk is responsible for ensuring </w:t>
      </w:r>
      <w:r>
        <w:rPr>
          <w:rFonts w:ascii="Arial" w:cs="Arial" w:hAnsi="Arial"/>
          <w:b w:val="off"/>
          <w:bCs w:val="off"/>
          <w:color w:val="000000"/>
          <w:sz w:val="22"/>
          <w:szCs w:val="22"/>
          <w:rtl w:val="off"/>
          <w:lang w:val="en-US"/>
        </w:rPr>
        <w:t>continuity of financial and administrative functions</w:t>
      </w:r>
      <w:r>
        <w:rPr>
          <w:rFonts w:ascii="Arial" w:cs="Arial" w:hAnsi="Arial"/>
          <w:b w:val="off"/>
          <w:bCs w:val="off"/>
          <w:color w:val="000000"/>
          <w:sz w:val="22"/>
          <w:szCs w:val="22"/>
          <w:rtl w:val="off"/>
          <w:lang w:val="en-US"/>
        </w:rPr>
        <w:t xml:space="preserve">, with support from </w:t>
      </w:r>
      <w:r>
        <w:rPr>
          <w:rFonts w:ascii="Arial" w:cs="Arial" w:hAnsi="Arial"/>
          <w:b w:val="off"/>
          <w:bCs w:val="off"/>
          <w:color w:val="000000"/>
          <w:sz w:val="22"/>
          <w:szCs w:val="22"/>
          <w:rtl w:val="off"/>
          <w:lang w:val="en-US"/>
        </w:rPr>
        <w:t xml:space="preserve">One Voice Wales </w:t>
      </w:r>
      <w:r>
        <w:rPr>
          <w:rFonts w:ascii="Arial" w:cs="Arial" w:hAnsi="Arial"/>
          <w:b w:val="off"/>
          <w:bCs w:val="off"/>
          <w:color w:val="000000"/>
          <w:sz w:val="22"/>
          <w:szCs w:val="22"/>
          <w:rtl w:val="off"/>
          <w:lang w:val="en-US"/>
        </w:rPr>
        <w:t>if required.</w:t>
      </w:r>
    </w:p>
    <w:p w14:paraId="00000052">
      <w:pPr>
        <w:pStyle w:val="NoSpacing"/>
        <w:bidi w:val="off"/>
        <w:rPr>
          <w:rFonts w:ascii="Arial" w:cs="Arial" w:hAnsi="Arial"/>
          <w:sz w:val="22"/>
          <w:szCs w:val="22"/>
          <w:lang w:val="en-US"/>
        </w:rPr>
      </w:pPr>
    </w:p>
    <w:p w14:paraId="00000053">
      <w:pPr>
        <w:pStyle w:val="NoSpacing"/>
        <w:bidi w:val="off"/>
        <w:spacing w:line="276"/>
        <w:rPr>
          <w:rFonts w:ascii="Arial" w:cs="Arial" w:hAnsi="Arial"/>
          <w:sz w:val="22"/>
          <w:szCs w:val="22"/>
          <w:rtl w:val="off"/>
          <w:lang w:val="en-US"/>
        </w:rPr>
      </w:pPr>
      <w:r>
        <w:rPr>
          <w:rFonts w:ascii="Arial" w:cs="Arial" w:hAnsi="Arial"/>
          <w:b/>
          <w:bCs/>
          <w:sz w:val="22"/>
          <w:szCs w:val="22"/>
          <w:rtl w:val="off"/>
          <w:lang w:val="en-US"/>
        </w:rPr>
        <w:t>LEGAL MATTERS &amp; DOCUMENT SEALING</w:t>
      </w:r>
    </w:p>
    <w:p w14:paraId="00000054">
      <w:pPr>
        <w:pStyle w:val="NoSpacing"/>
        <w:bidi w:val="off"/>
        <w:rPr>
          <w:rFonts w:ascii="Arial" w:cs="Arial" w:hAnsi="Arial"/>
          <w:sz w:val="22"/>
          <w:szCs w:val="22"/>
          <w:lang w:val="en-US"/>
        </w:rPr>
      </w:pPr>
      <w:r>
        <w:rPr>
          <w:rFonts w:ascii="Arial" w:cs="Arial" w:hAnsi="Arial"/>
          <w:sz w:val="22"/>
          <w:szCs w:val="22"/>
          <w:rtl w:val="off"/>
          <w:lang w:val="en-US"/>
        </w:rPr>
        <w:t xml:space="preserve">Contracts and official documents must be signed by the </w:t>
      </w:r>
      <w:r>
        <w:rPr>
          <w:rFonts w:ascii="Arial" w:cs="Arial" w:hAnsi="Arial"/>
          <w:sz w:val="22"/>
          <w:szCs w:val="22"/>
          <w:rtl w:val="off"/>
          <w:lang w:val="en-US"/>
        </w:rPr>
        <w:t xml:space="preserve">Chairperson </w:t>
      </w:r>
      <w:r>
        <w:rPr>
          <w:rFonts w:ascii="Arial" w:cs="Arial" w:hAnsi="Arial"/>
          <w:sz w:val="22"/>
          <w:szCs w:val="22"/>
          <w:rtl w:val="off"/>
          <w:lang w:val="en-US"/>
        </w:rPr>
        <w:t xml:space="preserve">and </w:t>
      </w:r>
      <w:r>
        <w:rPr>
          <w:rFonts w:ascii="Arial" w:cs="Arial" w:hAnsi="Arial"/>
          <w:sz w:val="22"/>
          <w:szCs w:val="22"/>
          <w:rtl w:val="off"/>
          <w:lang w:val="en-US"/>
        </w:rPr>
        <w:t>Clerk</w:t>
      </w:r>
      <w:r>
        <w:rPr>
          <w:rFonts w:ascii="Arial" w:cs="Arial" w:hAnsi="Arial"/>
          <w:sz w:val="22"/>
          <w:szCs w:val="22"/>
          <w:rtl w:val="off"/>
          <w:lang w:val="en-US"/>
        </w:rPr>
        <w:t>.</w:t>
      </w:r>
    </w:p>
    <w:p w14:paraId="00000055">
      <w:pPr>
        <w:pStyle w:val="NoSpacing"/>
        <w:bidi w:val="off"/>
        <w:rPr>
          <w:rFonts w:ascii="Arial" w:cs="Arial" w:hAnsi="Arial"/>
          <w:sz w:val="22"/>
          <w:szCs w:val="22"/>
          <w:lang w:val="en-US"/>
        </w:rPr>
      </w:pPr>
    </w:p>
    <w:p w14:paraId="00000056">
      <w:pPr>
        <w:pStyle w:val="NoSpacing"/>
        <w:bidi w:val="off"/>
        <w:rPr>
          <w:rFonts w:ascii="Arial" w:cs="Arial" w:hAnsi="Arial"/>
          <w:sz w:val="22"/>
          <w:szCs w:val="22"/>
          <w:lang w:val="en-US"/>
        </w:rPr>
      </w:pPr>
      <w:r>
        <w:rPr>
          <w:rFonts w:ascii="Arial" w:cs="Arial" w:hAnsi="Arial"/>
          <w:sz w:val="22"/>
          <w:szCs w:val="22"/>
          <w:rtl w:val="off"/>
          <w:lang w:val="en-US"/>
        </w:rPr>
        <w:t xml:space="preserve">The Council follows legal requirements regarding </w:t>
      </w:r>
      <w:r>
        <w:rPr>
          <w:rFonts w:ascii="Arial" w:cs="Arial" w:hAnsi="Arial"/>
          <w:sz w:val="22"/>
          <w:szCs w:val="22"/>
          <w:rtl w:val="off"/>
          <w:lang w:val="en-US"/>
        </w:rPr>
        <w:t>freedom of information, data protection, and equality laws</w:t>
      </w:r>
      <w:r>
        <w:rPr>
          <w:rFonts w:ascii="Arial" w:cs="Arial" w:hAnsi="Arial"/>
          <w:sz w:val="22"/>
          <w:szCs w:val="22"/>
          <w:rtl w:val="off"/>
          <w:lang w:val="en-US"/>
        </w:rPr>
        <w:t>.</w:t>
      </w:r>
    </w:p>
    <w:p w14:paraId="00000057">
      <w:pPr>
        <w:pStyle w:val="NoSpacing"/>
        <w:bidi w:val="off"/>
        <w:rPr>
          <w:rFonts w:ascii="Arial" w:cs="Arial" w:hAnsi="Arial"/>
          <w:sz w:val="22"/>
          <w:szCs w:val="22"/>
          <w:lang w:val="en-US"/>
        </w:rPr>
      </w:pPr>
    </w:p>
    <w:p w14:paraId="0000005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sz w:val="22"/>
          <w:szCs w:val="22"/>
          <w:lang w:val="en-US"/>
        </w:rPr>
      </w:pPr>
      <w:r>
        <w:rPr>
          <w:rFonts w:ascii="Arial" w:cs="Arial" w:hAnsi="Arial"/>
          <w:b w:val="off"/>
          <w:bCs w:val="off"/>
          <w:color w:val="000000"/>
          <w:sz w:val="22"/>
          <w:szCs w:val="26"/>
          <w:rtl w:val="off"/>
          <w:lang w:val="en-US"/>
        </w:rPr>
        <w:t xml:space="preserve">Meeting </w:t>
      </w:r>
      <w:r>
        <w:rPr>
          <w:rFonts w:ascii="Arial" w:cs="Arial" w:hAnsi="Arial"/>
          <w:b w:val="off"/>
          <w:bCs w:val="off"/>
          <w:color w:val="000000"/>
          <w:sz w:val="22"/>
          <w:szCs w:val="26"/>
          <w:rtl w:val="off"/>
          <w:lang w:val="en-US"/>
        </w:rPr>
        <w:t>minutes are recorded, signed by the Chairperson at the next meeting, and stored both digitally in Dropbox and in a secure physical copy</w:t>
      </w:r>
      <w:r>
        <w:rPr>
          <w:rFonts w:ascii="Arial" w:cs="Arial" w:hAnsi="Arial"/>
          <w:b w:val="off"/>
          <w:bCs w:val="off"/>
          <w:color w:val="000000"/>
          <w:sz w:val="22"/>
          <w:szCs w:val="26"/>
          <w:rtl w:val="off"/>
          <w:lang w:val="en-US"/>
        </w:rPr>
        <w:t>.</w:t>
      </w:r>
    </w:p>
    <w:p w14:paraId="00000059">
      <w:pPr>
        <w:pStyle w:val="NoSpacing"/>
        <w:bidi w:val="off"/>
        <w:rPr>
          <w:rFonts w:ascii="Arial" w:cs="Arial" w:hAnsi="Arial"/>
          <w:sz w:val="22"/>
          <w:szCs w:val="22"/>
          <w:rtl w:val="off"/>
          <w:lang w:val="en-US"/>
        </w:rPr>
      </w:pPr>
    </w:p>
    <w:p w14:paraId="0000005A">
      <w:pPr>
        <w:pStyle w:val="NoSpacing"/>
        <w:bidi w:val="off"/>
        <w:spacing w:line="276"/>
        <w:rPr>
          <w:rFonts w:ascii="Arial" w:cs="Arial" w:hAnsi="Arial"/>
          <w:b/>
          <w:bCs/>
          <w:sz w:val="22"/>
          <w:szCs w:val="22"/>
        </w:rPr>
      </w:pPr>
      <w:r>
        <w:rPr>
          <w:rFonts w:ascii="Arial" w:cs="Arial" w:hAnsi="Arial"/>
          <w:b/>
          <w:bCs/>
          <w:sz w:val="22"/>
          <w:szCs w:val="22"/>
          <w:rtl w:val="off"/>
          <w:lang w:val="en-US"/>
        </w:rPr>
        <w:t>COMPLIANCE &amp; STATUTORY DUTIES</w:t>
      </w:r>
    </w:p>
    <w:p w14:paraId="0000005B">
      <w:pPr>
        <w:pStyle w:val="NoSpacing"/>
        <w:rPr>
          <w:rFonts w:ascii="Arial" w:cs="Arial" w:hAnsi="Arial"/>
          <w:sz w:val="22"/>
          <w:szCs w:val="22"/>
        </w:rPr>
      </w:pPr>
      <w:r>
        <w:rPr>
          <w:rFonts w:ascii="Arial" w:cs="Arial" w:hAnsi="Arial"/>
          <w:sz w:val="22"/>
          <w:szCs w:val="22"/>
        </w:rPr>
        <w:t xml:space="preserve">Welsh Language Scheme adopted by the </w:t>
      </w:r>
      <w:r>
        <w:rPr>
          <w:rFonts w:ascii="Arial" w:cs="Arial" w:hAnsi="Arial"/>
          <w:sz w:val="22"/>
          <w:szCs w:val="22"/>
        </w:rPr>
        <w:t>Trewern</w:t>
      </w:r>
      <w:r>
        <w:rPr>
          <w:rFonts w:ascii="Arial" w:cs="Arial" w:hAnsi="Arial"/>
          <w:sz w:val="22"/>
          <w:szCs w:val="22"/>
        </w:rPr>
        <w:t xml:space="preserve"> Community Council 26</w:t>
      </w:r>
      <w:r>
        <w:rPr>
          <w:rFonts w:ascii="Arial" w:cs="Arial" w:hAnsi="Arial"/>
          <w:sz w:val="22"/>
          <w:szCs w:val="22"/>
          <w:vertAlign w:val="superscript"/>
        </w:rPr>
        <w:t>th</w:t>
      </w:r>
      <w:r>
        <w:rPr>
          <w:rFonts w:ascii="Arial" w:cs="Arial" w:hAnsi="Arial"/>
          <w:sz w:val="22"/>
          <w:szCs w:val="22"/>
        </w:rPr>
        <w:t xml:space="preserve"> June 2007 gives due regard to the need to support and promote the use of Welsh and to ensure public information is available bi-lingual if requested.</w:t>
      </w:r>
    </w:p>
    <w:p w14:paraId="0000005C">
      <w:pPr>
        <w:pStyle w:val="NoSpacing"/>
        <w:rPr>
          <w:rFonts w:ascii="Arial" w:cs="Arial" w:hAnsi="Arial"/>
          <w:sz w:val="22"/>
          <w:szCs w:val="22"/>
        </w:rPr>
      </w:pPr>
      <w:r>
        <w:rPr>
          <w:rFonts w:ascii="Arial" w:cs="Arial" w:hAnsi="Arial"/>
          <w:sz w:val="22"/>
          <w:szCs w:val="22"/>
        </w:rPr>
        <w:t xml:space="preserve"> </w:t>
      </w:r>
    </w:p>
    <w:p w14:paraId="0000005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eastAsia="Aril" w:hAnsi="Arial"/>
          <w:sz w:val="22"/>
          <w:szCs w:val="22"/>
          <w:lang w:val="en-US"/>
        </w:rPr>
      </w:pPr>
      <w:r>
        <w:rPr>
          <w:rFonts w:ascii="Arial" w:cs="Arial" w:eastAsia="Aril" w:hAnsi="Arial"/>
          <w:sz w:val="22"/>
          <w:szCs w:val="22"/>
          <w:rtl w:val="off"/>
          <w:lang w:val="en-US"/>
        </w:rPr>
        <w:t xml:space="preserve">Trewern Community Council upholds the </w:t>
      </w:r>
      <w:r>
        <w:rPr>
          <w:rFonts w:ascii="Arial" w:cs="Arial" w:eastAsia="Aril" w:hAnsi="Arial"/>
          <w:color w:val="000000"/>
          <w:sz w:val="22"/>
          <w:szCs w:val="22"/>
          <w:rtl w:val="off"/>
          <w:lang w:val="en-US"/>
        </w:rPr>
        <w:t xml:space="preserve">Equality &amp; Diversity Policy </w:t>
      </w:r>
      <w:r>
        <w:rPr>
          <w:rFonts w:ascii="Arial" w:cs="Arial" w:eastAsia="Aril" w:hAnsi="Arial"/>
          <w:sz w:val="22"/>
          <w:szCs w:val="22"/>
          <w:rtl w:val="off"/>
          <w:lang w:val="en-US"/>
        </w:rPr>
        <w:t xml:space="preserve">and actively seeks to eliminate discrimination while promoting equality for all individuals, regardless of gender, race, disability, religion, sexual orientation, or Welsh-speaking ability. </w:t>
      </w:r>
    </w:p>
    <w:p w14:paraId="0000005E">
      <w:pPr>
        <w:pStyle w:val="NoSpacing"/>
        <w:rPr>
          <w:rFonts w:ascii="Arial" w:cs="Arial" w:hAnsi="Arial"/>
          <w:sz w:val="22"/>
          <w:szCs w:val="22"/>
        </w:rPr>
      </w:pPr>
    </w:p>
    <w:p w14:paraId="0000005F">
      <w:pPr>
        <w:pStyle w:val="NoSpacing"/>
        <w:rPr/>
      </w:pPr>
      <w:r>
        <w:rPr>
          <w:rFonts w:ascii="Arial" w:cs="Arial" w:hAnsi="Arial"/>
          <w:sz w:val="22"/>
          <w:szCs w:val="22"/>
        </w:rPr>
        <w:t xml:space="preserve">New Model Code of Conduct adopted by </w:t>
      </w:r>
      <w:r>
        <w:rPr>
          <w:rFonts w:ascii="Arial" w:cs="Arial" w:hAnsi="Arial"/>
          <w:sz w:val="22"/>
          <w:szCs w:val="22"/>
        </w:rPr>
        <w:t>Trewern</w:t>
      </w:r>
      <w:r>
        <w:rPr>
          <w:rFonts w:ascii="Arial" w:cs="Arial" w:hAnsi="Arial"/>
          <w:sz w:val="22"/>
          <w:szCs w:val="22"/>
        </w:rPr>
        <w:t xml:space="preserve"> Community Council on </w:t>
      </w:r>
      <w:r>
        <w:rPr>
          <w:rFonts w:ascii="Arial" w:cs="Arial" w:hAnsi="Arial"/>
          <w:sz w:val="22"/>
          <w:szCs w:val="22"/>
        </w:rPr>
        <w:t>October 2024.</w:t>
      </w:r>
    </w:p>
    <w:p w14:paraId="00000060">
      <w:pPr>
        <w:rPr>
          <w:rFonts w:ascii="Arial" w:cs="Arial" w:hAnsi="Arial"/>
          <w:sz w:val="22"/>
          <w:szCs w:val="22"/>
        </w:rPr>
      </w:pPr>
    </w:p>
    <w:p w14:paraId="00000061">
      <w:pPr>
        <w:rPr>
          <w:rFonts w:ascii="Arial" w:cs="Arial" w:hAnsi="Arial"/>
          <w:sz w:val="22"/>
          <w:szCs w:val="22"/>
        </w:rPr>
      </w:pPr>
    </w:p>
    <w:p w14:paraId="00000062">
      <w:pPr>
        <w:rPr>
          <w:rFonts w:ascii="Arial" w:cs="Arial" w:hAnsi="Arial"/>
        </w:rPr>
      </w:pPr>
    </w:p>
    <w:p w14:paraId="00000063">
      <w:pPr>
        <w:rPr>
          <w:rFonts w:ascii="Arial" w:cs="Arial" w:hAnsi="Arial"/>
        </w:rPr>
      </w:pPr>
    </w:p>
    <w:p w14:paraId="00000064">
      <w:pPr>
        <w:rPr>
          <w:rFonts w:ascii="Arial" w:cs="Arial" w:hAnsi="Arial"/>
        </w:rPr>
      </w:pPr>
    </w:p>
    <w:p w14:paraId="00000065">
      <w:pPr>
        <w:rPr>
          <w:rFonts w:ascii="Arial" w:cs="Arial" w:hAnsi="Arial"/>
        </w:rPr>
      </w:pPr>
    </w:p>
    <w:p w14:paraId="00000066">
      <w:pPr>
        <w:rPr>
          <w:rFonts w:ascii="Arial" w:cs="Arial" w:hAnsi="Arial"/>
        </w:rPr>
      </w:pPr>
    </w:p>
    <w:p w14:paraId="00000067">
      <w:pPr>
        <w:rPr>
          <w:rFonts w:ascii="Arial" w:cs="Arial" w:hAnsi="Arial"/>
        </w:rPr>
      </w:pPr>
      <w:bookmarkStart w:id="0" w:name="_GoBack"/>
      <w:bookmarkEnd w:id="0"/>
      <w:r>
        <w:rPr>
          <w:rFonts w:ascii="Arial" w:cs="Arial" w:hAnsi="Arial"/>
        </w:rPr>
        <w:t>T</w:t>
      </w:r>
      <w:r>
        <w:rPr>
          <w:rFonts w:ascii="Arial" w:cs="Arial" w:hAnsi="Arial"/>
        </w:rPr>
        <w:t>rewern</w:t>
      </w:r>
      <w:r>
        <w:rPr>
          <w:rFonts w:ascii="Arial" w:cs="Arial" w:hAnsi="Arial"/>
        </w:rPr>
        <w:t xml:space="preserve"> Community Council adopted/reviewed this </w:t>
      </w:r>
      <w:r>
        <w:rPr>
          <w:rFonts w:ascii="Arial" w:cs="Arial" w:hAnsi="Arial"/>
        </w:rPr>
        <w:t>Constitution</w:t>
      </w:r>
      <w:r>
        <w:rPr>
          <w:rFonts w:ascii="Arial" w:cs="Arial" w:hAnsi="Arial"/>
        </w:rPr>
        <w:t xml:space="preserve"> </w:t>
      </w:r>
      <w:r>
        <w:rPr>
          <w:rFonts w:ascii="Arial" w:cs="Arial" w:hAnsi="Arial"/>
        </w:rPr>
        <w:t xml:space="preserve">at its meeting on: </w:t>
      </w:r>
    </w:p>
    <w:p w14:paraId="00000068">
      <w:pPr>
        <w:rPr>
          <w:rFonts w:ascii="Arial" w:cs="Arial" w:hAnsi="Arial"/>
        </w:rPr>
      </w:pPr>
    </w:p>
    <w:p w14:paraId="00000069">
      <w:pPr>
        <w:rPr>
          <w:rFonts w:ascii="Arial" w:cs="Arial" w:hAnsi="Arial"/>
        </w:rPr>
      </w:pPr>
      <w:r>
        <w:rPr>
          <w:rFonts w:ascii="Arial" w:cs="Arial" w:hAnsi="Arial"/>
        </w:rPr>
        <w:t>……………………………………………………………………………………………………………</w:t>
      </w:r>
    </w:p>
    <w:p w14:paraId="0000006A">
      <w:pPr>
        <w:rPr>
          <w:rFonts w:ascii="Arial" w:cs="Arial" w:hAnsi="Arial"/>
        </w:rPr>
      </w:pPr>
      <w:r>
        <w:rPr>
          <w:rFonts w:ascii="Arial" w:cs="Arial" w:hAnsi="Arial"/>
        </w:rPr>
        <w:t xml:space="preserve"> </w:t>
      </w:r>
    </w:p>
    <w:p w14:paraId="0000006B">
      <w:pPr>
        <w:rPr>
          <w:rFonts w:ascii="Arial" w:cs="Arial" w:hAnsi="Arial"/>
        </w:rPr>
      </w:pPr>
      <w:r>
        <w:rPr>
          <w:rFonts w:ascii="Arial" w:cs="Arial" w:hAnsi="Arial"/>
        </w:rPr>
        <w:t xml:space="preserve">Signed:………………………………………………Date:…………………………………….…….. </w:t>
      </w:r>
    </w:p>
    <w:p w14:paraId="0000006C">
      <w:pPr>
        <w:rPr>
          <w:rFonts w:ascii="Arial" w:cs="Arial" w:hAnsi="Arial"/>
        </w:rPr>
      </w:pPr>
    </w:p>
    <w:p w14:paraId="0000006D">
      <w:pPr>
        <w:rPr>
          <w:rFonts w:ascii="Arial" w:cs="Arial" w:hAnsi="Arial"/>
        </w:rPr>
      </w:pPr>
      <w:r>
        <w:rPr>
          <w:rFonts w:ascii="Arial" w:cs="Arial" w:hAnsi="Arial"/>
        </w:rPr>
        <w:t>Print Name:……………………………………………………………………………………….…….</w:t>
      </w:r>
    </w:p>
    <w:p w14:paraId="0000006E">
      <w:pPr>
        <w:rPr>
          <w:rFonts w:ascii="Arial" w:cs="Arial" w:hAnsi="Arial"/>
        </w:rPr>
      </w:pPr>
    </w:p>
    <w:p w14:paraId="0000006F">
      <w:pPr>
        <w:rPr>
          <w:rFonts w:ascii="Arial" w:cs="Arial" w:hAnsi="Arial"/>
        </w:rPr>
      </w:pPr>
      <w:r>
        <w:rPr>
          <w:rFonts w:ascii="Arial" w:cs="Arial" w:hAnsi="Arial"/>
        </w:rPr>
        <w:t xml:space="preserve">Position:……………………………………………………..………………………………………….. </w:t>
      </w:r>
    </w:p>
    <w:p w14:paraId="00000070">
      <w:pPr>
        <w:rPr>
          <w:rFonts w:ascii="Arial" w:cs="Arial" w:hAnsi="Arial"/>
        </w:rPr>
      </w:pPr>
      <w:r>
        <w:rPr>
          <w:rFonts w:ascii="Arial" w:cs="Arial" w:hAnsi="Arial"/>
        </w:rPr>
        <w:t xml:space="preserve"> </w:t>
      </w:r>
    </w:p>
    <w:p w14:paraId="00000071">
      <w:pPr>
        <w:rPr>
          <w:rFonts w:ascii="Arial" w:cs="Arial" w:hAnsi="Arial"/>
        </w:rPr>
      </w:pPr>
      <w:r>
        <w:rPr>
          <w:rFonts w:ascii="Arial" w:cs="Arial" w:hAnsi="Arial"/>
        </w:rPr>
        <w:t xml:space="preserve">Version No:……………………………………………………………………………..……………… </w:t>
      </w:r>
    </w:p>
    <w:p w14:paraId="00000072">
      <w:pPr>
        <w:rPr>
          <w:rFonts w:ascii="Arial" w:cs="Arial" w:hAnsi="Arial"/>
        </w:rPr>
      </w:pPr>
      <w:r>
        <w:rPr>
          <w:rFonts w:ascii="Arial" w:cs="Arial" w:hAnsi="Arial"/>
        </w:rPr>
        <w:t xml:space="preserve"> </w:t>
      </w:r>
    </w:p>
    <w:p w14:paraId="00000073">
      <w:pPr>
        <w:rPr>
          <w:rFonts w:ascii="Arial" w:cs="Arial" w:hAnsi="Arial"/>
        </w:rPr>
      </w:pPr>
      <w:r>
        <w:rPr>
          <w:rFonts w:ascii="Arial" w:cs="Arial" w:hAnsi="Arial"/>
        </w:rPr>
        <w:t xml:space="preserve">Review Date = Annual </w:t>
      </w:r>
    </w:p>
    <w:tbl>
      <w:tblPr>
        <w:tblStyle w:val="TableGrid"/>
        <w:tblW w:w="0" w:type="auto"/>
        <w:tblLook w:val="04A0"/>
      </w:tblPr>
      <w:tblGrid>
        <w:gridCol w:w="2547"/>
        <w:gridCol w:w="1961"/>
        <w:gridCol w:w="2254"/>
        <w:gridCol w:w="2254"/>
      </w:tblGrid>
      <w:tr>
        <w:trPr/>
        <w:tc>
          <w:tcPr>
            <w:cnfStyle w:val="101000000000"/>
            <w:tcW w:w="2547" w:type="dxa"/>
          </w:tcPr>
          <w:p w14:paraId="00000074">
            <w:pPr>
              <w:jc w:val="center"/>
              <w:rPr>
                <w:rFonts w:ascii="Arial" w:cs="Arial" w:hAnsi="Arial"/>
              </w:rPr>
            </w:pPr>
            <w:r>
              <w:rPr>
                <w:rFonts w:ascii="Arial" w:cs="Arial" w:hAnsi="Arial"/>
              </w:rPr>
              <w:t>Amended or Reviewed</w:t>
            </w:r>
          </w:p>
          <w:p w14:paraId="00000075">
            <w:pPr>
              <w:jc w:val="center"/>
              <w:rPr>
                <w:rFonts w:ascii="Arial" w:cs="Arial" w:hAnsi="Arial"/>
              </w:rPr>
            </w:pPr>
          </w:p>
        </w:tc>
        <w:tc>
          <w:tcPr>
            <w:cnfStyle w:val="100000000000"/>
            <w:tcW w:w="1961" w:type="dxa"/>
          </w:tcPr>
          <w:p w14:paraId="00000076">
            <w:pPr>
              <w:jc w:val="center"/>
              <w:rPr>
                <w:rFonts w:ascii="Arial" w:cs="Arial" w:hAnsi="Arial"/>
              </w:rPr>
            </w:pPr>
            <w:r>
              <w:rPr>
                <w:rFonts w:ascii="Arial" w:cs="Arial" w:hAnsi="Arial"/>
              </w:rPr>
              <w:t>Date</w:t>
            </w:r>
          </w:p>
        </w:tc>
        <w:tc>
          <w:tcPr>
            <w:cnfStyle w:val="100000000000"/>
            <w:tcW w:w="2254" w:type="dxa"/>
          </w:tcPr>
          <w:p w14:paraId="00000077">
            <w:pPr>
              <w:jc w:val="center"/>
              <w:rPr>
                <w:rFonts w:ascii="Arial" w:cs="Arial" w:hAnsi="Arial"/>
              </w:rPr>
            </w:pPr>
            <w:r>
              <w:rPr>
                <w:rFonts w:ascii="Arial" w:cs="Arial" w:hAnsi="Arial"/>
              </w:rPr>
              <w:t>Version No</w:t>
            </w:r>
          </w:p>
        </w:tc>
        <w:tc>
          <w:tcPr>
            <w:cnfStyle w:val="100000000000"/>
            <w:tcW w:w="2254" w:type="dxa"/>
          </w:tcPr>
          <w:p w14:paraId="00000078">
            <w:pPr>
              <w:jc w:val="center"/>
              <w:rPr>
                <w:rFonts w:ascii="Arial" w:cs="Arial" w:hAnsi="Arial"/>
              </w:rPr>
            </w:pPr>
            <w:r>
              <w:rPr>
                <w:rFonts w:ascii="Arial" w:cs="Arial" w:hAnsi="Arial"/>
              </w:rPr>
              <w:t>Who</w:t>
            </w:r>
          </w:p>
        </w:tc>
      </w:tr>
      <w:tr>
        <w:trPr/>
        <w:tc>
          <w:tcPr>
            <w:cnfStyle w:val="001000100000"/>
            <w:tcW w:w="2547" w:type="dxa"/>
          </w:tcPr>
          <w:p w14:paraId="00000079">
            <w:pPr>
              <w:jc w:val="center"/>
              <w:rPr>
                <w:rFonts w:ascii="Arial" w:cs="Arial" w:hAnsi="Arial"/>
              </w:rPr>
            </w:pPr>
            <w:r>
              <w:rPr>
                <w:rFonts w:ascii="Arial" w:cs="Arial" w:hAnsi="Arial"/>
              </w:rPr>
              <w:t>Approved</w:t>
            </w:r>
          </w:p>
          <w:p w14:paraId="0000007A">
            <w:pPr>
              <w:jc w:val="center"/>
              <w:rPr>
                <w:rFonts w:ascii="Arial" w:cs="Arial" w:hAnsi="Arial"/>
              </w:rPr>
            </w:pPr>
          </w:p>
        </w:tc>
        <w:tc>
          <w:tcPr>
            <w:cnfStyle w:val="000000100000"/>
            <w:tcW w:w="1961" w:type="dxa"/>
          </w:tcPr>
          <w:p w14:paraId="0000007B">
            <w:pPr>
              <w:jc w:val="center"/>
              <w:rPr>
                <w:rFonts w:ascii="Arial" w:cs="Arial" w:hAnsi="Arial"/>
              </w:rPr>
            </w:pPr>
          </w:p>
        </w:tc>
        <w:tc>
          <w:tcPr>
            <w:cnfStyle w:val="000000100000"/>
            <w:tcW w:w="2254" w:type="dxa"/>
          </w:tcPr>
          <w:p w14:paraId="0000007C">
            <w:pPr>
              <w:jc w:val="center"/>
              <w:rPr>
                <w:rFonts w:ascii="Arial" w:cs="Arial" w:hAnsi="Arial"/>
              </w:rPr>
            </w:pPr>
          </w:p>
        </w:tc>
        <w:tc>
          <w:tcPr>
            <w:cnfStyle w:val="000000100000"/>
            <w:tcW w:w="2254" w:type="dxa"/>
          </w:tcPr>
          <w:p w14:paraId="0000007D">
            <w:pPr>
              <w:jc w:val="center"/>
              <w:rPr>
                <w:rFonts w:ascii="Arial" w:cs="Arial" w:hAnsi="Arial"/>
              </w:rPr>
            </w:pPr>
          </w:p>
        </w:tc>
      </w:tr>
      <w:tr>
        <w:trPr/>
        <w:tc>
          <w:tcPr>
            <w:cnfStyle w:val="001000010000"/>
            <w:tcW w:w="2547" w:type="dxa"/>
          </w:tcPr>
          <w:p w14:paraId="0000007E">
            <w:pPr>
              <w:jc w:val="center"/>
              <w:rPr>
                <w:rFonts w:ascii="Arial" w:cs="Arial" w:hAnsi="Arial"/>
              </w:rPr>
            </w:pPr>
          </w:p>
          <w:p w14:paraId="0000007F">
            <w:pPr>
              <w:jc w:val="center"/>
              <w:rPr>
                <w:rFonts w:ascii="Arial" w:cs="Arial" w:hAnsi="Arial"/>
              </w:rPr>
            </w:pPr>
          </w:p>
        </w:tc>
        <w:tc>
          <w:tcPr>
            <w:cnfStyle w:val="000000010000"/>
            <w:tcW w:w="1961" w:type="dxa"/>
          </w:tcPr>
          <w:p w14:paraId="00000080">
            <w:pPr>
              <w:jc w:val="center"/>
              <w:rPr>
                <w:rFonts w:ascii="Arial" w:cs="Arial" w:hAnsi="Arial"/>
              </w:rPr>
            </w:pPr>
          </w:p>
        </w:tc>
        <w:tc>
          <w:tcPr>
            <w:cnfStyle w:val="000000010000"/>
            <w:tcW w:w="2254" w:type="dxa"/>
          </w:tcPr>
          <w:p w14:paraId="00000081">
            <w:pPr>
              <w:jc w:val="center"/>
              <w:rPr>
                <w:rFonts w:ascii="Arial" w:cs="Arial" w:hAnsi="Arial"/>
              </w:rPr>
            </w:pPr>
          </w:p>
        </w:tc>
        <w:tc>
          <w:tcPr>
            <w:cnfStyle w:val="000000010000"/>
            <w:tcW w:w="2254" w:type="dxa"/>
          </w:tcPr>
          <w:p w14:paraId="00000082">
            <w:pPr>
              <w:jc w:val="center"/>
              <w:rPr>
                <w:rFonts w:ascii="Arial" w:cs="Arial" w:hAnsi="Arial"/>
              </w:rPr>
            </w:pPr>
          </w:p>
        </w:tc>
      </w:tr>
      <w:tr>
        <w:trPr/>
        <w:tc>
          <w:tcPr>
            <w:cnfStyle w:val="001000100000"/>
            <w:tcW w:w="2547" w:type="dxa"/>
          </w:tcPr>
          <w:p w14:paraId="00000083">
            <w:pPr>
              <w:jc w:val="center"/>
              <w:rPr>
                <w:rFonts w:ascii="Arial" w:cs="Arial" w:hAnsi="Arial"/>
              </w:rPr>
            </w:pPr>
          </w:p>
          <w:p w14:paraId="00000084">
            <w:pPr>
              <w:jc w:val="center"/>
              <w:rPr>
                <w:rFonts w:ascii="Arial" w:cs="Arial" w:hAnsi="Arial"/>
              </w:rPr>
            </w:pPr>
          </w:p>
        </w:tc>
        <w:tc>
          <w:tcPr>
            <w:cnfStyle w:val="000000100000"/>
            <w:tcW w:w="1961" w:type="dxa"/>
          </w:tcPr>
          <w:p w14:paraId="00000085">
            <w:pPr>
              <w:jc w:val="center"/>
              <w:rPr>
                <w:rFonts w:ascii="Arial" w:cs="Arial" w:hAnsi="Arial"/>
              </w:rPr>
            </w:pPr>
          </w:p>
        </w:tc>
        <w:tc>
          <w:tcPr>
            <w:cnfStyle w:val="000000100000"/>
            <w:tcW w:w="2254" w:type="dxa"/>
          </w:tcPr>
          <w:p w14:paraId="00000086">
            <w:pPr>
              <w:jc w:val="center"/>
              <w:rPr>
                <w:rFonts w:ascii="Arial" w:cs="Arial" w:hAnsi="Arial"/>
              </w:rPr>
            </w:pPr>
          </w:p>
        </w:tc>
        <w:tc>
          <w:tcPr>
            <w:cnfStyle w:val="000000100000"/>
            <w:tcW w:w="2254" w:type="dxa"/>
          </w:tcPr>
          <w:p w14:paraId="00000087">
            <w:pPr>
              <w:jc w:val="center"/>
              <w:rPr>
                <w:rFonts w:ascii="Arial" w:cs="Arial" w:hAnsi="Arial"/>
              </w:rPr>
            </w:pPr>
          </w:p>
        </w:tc>
      </w:tr>
      <w:tr>
        <w:trPr/>
        <w:tc>
          <w:tcPr>
            <w:cnfStyle w:val="001000010000"/>
            <w:tcW w:w="2547" w:type="dxa"/>
          </w:tcPr>
          <w:p w14:paraId="00000088">
            <w:pPr>
              <w:jc w:val="center"/>
              <w:rPr>
                <w:rFonts w:ascii="Arial" w:cs="Arial" w:hAnsi="Arial"/>
              </w:rPr>
            </w:pPr>
          </w:p>
          <w:p w14:paraId="00000089">
            <w:pPr>
              <w:jc w:val="center"/>
              <w:rPr>
                <w:rFonts w:ascii="Arial" w:cs="Arial" w:hAnsi="Arial"/>
              </w:rPr>
            </w:pPr>
          </w:p>
        </w:tc>
        <w:tc>
          <w:tcPr>
            <w:cnfStyle w:val="000000010000"/>
            <w:tcW w:w="1961" w:type="dxa"/>
          </w:tcPr>
          <w:p w14:paraId="0000008A">
            <w:pPr>
              <w:jc w:val="center"/>
              <w:rPr>
                <w:rFonts w:ascii="Arial" w:cs="Arial" w:hAnsi="Arial"/>
              </w:rPr>
            </w:pPr>
          </w:p>
        </w:tc>
        <w:tc>
          <w:tcPr>
            <w:cnfStyle w:val="000000010000"/>
            <w:tcW w:w="2254" w:type="dxa"/>
          </w:tcPr>
          <w:p w14:paraId="0000008B">
            <w:pPr>
              <w:jc w:val="center"/>
              <w:rPr>
                <w:rFonts w:ascii="Arial" w:cs="Arial" w:hAnsi="Arial"/>
              </w:rPr>
            </w:pPr>
          </w:p>
        </w:tc>
        <w:tc>
          <w:tcPr>
            <w:cnfStyle w:val="000000010000"/>
            <w:tcW w:w="2254" w:type="dxa"/>
          </w:tcPr>
          <w:p w14:paraId="0000008C">
            <w:pPr>
              <w:jc w:val="center"/>
              <w:rPr>
                <w:rFonts w:ascii="Arial" w:cs="Arial" w:hAnsi="Arial"/>
              </w:rPr>
            </w:pPr>
          </w:p>
        </w:tc>
      </w:tr>
      <w:tr>
        <w:trPr/>
        <w:tc>
          <w:tcPr>
            <w:cnfStyle w:val="001000100000"/>
            <w:tcW w:w="2547" w:type="dxa"/>
          </w:tcPr>
          <w:p w14:paraId="0000008D">
            <w:pPr>
              <w:jc w:val="center"/>
              <w:rPr>
                <w:rFonts w:ascii="Arial" w:cs="Arial" w:hAnsi="Arial"/>
              </w:rPr>
            </w:pPr>
          </w:p>
          <w:p w14:paraId="0000008E">
            <w:pPr>
              <w:jc w:val="center"/>
              <w:rPr>
                <w:rFonts w:ascii="Arial" w:cs="Arial" w:hAnsi="Arial"/>
              </w:rPr>
            </w:pPr>
          </w:p>
        </w:tc>
        <w:tc>
          <w:tcPr>
            <w:cnfStyle w:val="000000100000"/>
            <w:tcW w:w="1961" w:type="dxa"/>
          </w:tcPr>
          <w:p w14:paraId="0000008F">
            <w:pPr>
              <w:jc w:val="center"/>
              <w:rPr>
                <w:rFonts w:ascii="Arial" w:cs="Arial" w:hAnsi="Arial"/>
              </w:rPr>
            </w:pPr>
          </w:p>
        </w:tc>
        <w:tc>
          <w:tcPr>
            <w:cnfStyle w:val="000000100000"/>
            <w:tcW w:w="2254" w:type="dxa"/>
          </w:tcPr>
          <w:p w14:paraId="00000090">
            <w:pPr>
              <w:jc w:val="center"/>
              <w:rPr>
                <w:rFonts w:ascii="Arial" w:cs="Arial" w:hAnsi="Arial"/>
              </w:rPr>
            </w:pPr>
          </w:p>
        </w:tc>
        <w:tc>
          <w:tcPr>
            <w:cnfStyle w:val="000000100000"/>
            <w:tcW w:w="2254" w:type="dxa"/>
          </w:tcPr>
          <w:p w14:paraId="00000091">
            <w:pPr>
              <w:jc w:val="center"/>
              <w:rPr>
                <w:rFonts w:ascii="Arial" w:cs="Arial" w:hAnsi="Arial"/>
              </w:rPr>
            </w:pPr>
          </w:p>
        </w:tc>
      </w:tr>
    </w:tbl>
    <w:p w14:paraId="00000092">
      <w:pPr>
        <w:rPr>
          <w:rFonts w:ascii="Arial" w:cs="Arial" w:hAnsi="Arial"/>
        </w:rPr>
      </w:pPr>
    </w:p>
    <w:sectPr>
      <w:footerReference w:type="default" r:id="rId16"/>
      <w:pgSz w:w="11906" w:h="16838"/>
      <w:pgMar w:top="1440" w:right="1440" w:bottom="1440" w:left="1440" w:header="708" w:footer="708" w:gutter="0"/>
      <w:cols w:space="708"/>
    </w:sectPr>
  </w:body>
</w:document>
</file>

<file path=word/commentsEx.xml><?xml version="1.0" encoding="utf-8"?>
<w15:commentsEx xmlns:w15="http://schemas.microsoft.com/office/word/2012/wordml">
  <w15:commentEx w15:paraId="00000054"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altName w:val="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altName w:val="Calibri"/>
    <w:panose1 w:val="020f0502020204030204"/>
    <w:charset w:val="00"/>
    <w:family w:val="swiss"/>
    <w:pitch w:val="variable"/>
    <w:sig w:usb0="00000000" w:usb1="00000000" w:usb2="00000009" w:usb3="00000000" w:csb0="000001ff" w:csb1="00000000"/>
  </w:font>
  <w:font w:name="Arial">
    <w:panose1 w:val="020b060402020202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00000000" w:usb2="00000009" w:usb3="00000000" w:csb0="000001f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Helvetica Neue">
    <w:charset w:val="00"/>
    <w:family w:val="swiss"/>
    <w:pitch w:val="variable"/>
  </w:font>
  <w:font w:name="Segoe UI">
    <w:charset w:val="00"/>
  </w:font>
  <w:font w:name="Aril"/>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93">
    <w:pPr>
      <w:pStyle w:val="Footer"/>
      <w:jc w:val="right"/>
      <w:rPr>
        <w:sz w:val="20"/>
        <w:szCs w:val="20"/>
      </w:rPr>
    </w:pPr>
    <w:r>
      <w:rPr>
        <w:rFonts w:ascii="Arial" w:cs="Arial" w:hAnsi="Arial"/>
        <w:color w:val="aeaaaa" w:themeColor="background2" w:themeShade="bf"/>
        <w:sz w:val="20"/>
        <w:szCs w:val="20"/>
      </w:rPr>
      <w:t xml:space="preserve">Page </w:t>
    </w:r>
    <w:r>
      <w:rPr>
        <w:rFonts w:ascii="Arial" w:cs="Arial" w:hAnsi="Arial"/>
        <w:b/>
        <w:bCs/>
        <w:color w:val="aeaaaa" w:themeColor="background2" w:themeShade="bf"/>
        <w:sz w:val="20"/>
        <w:szCs w:val="20"/>
      </w:rPr>
      <w:fldChar w:fldCharType="begin"/>
    </w:r>
    <w:r>
      <w:rPr>
        <w:rFonts w:ascii="Arial" w:cs="Arial" w:hAnsi="Arial"/>
        <w:b/>
        <w:bCs/>
        <w:color w:val="aeaaaa" w:themeColor="background2" w:themeShade="bf"/>
        <w:sz w:val="20"/>
        <w:szCs w:val="20"/>
      </w:rPr>
      <w:instrText xml:space="preserve"> PAGE </w:instrText>
    </w:r>
    <w:r>
      <w:rPr>
        <w:rFonts w:ascii="Arial" w:cs="Arial" w:hAnsi="Arial"/>
        <w:b/>
        <w:bCs/>
        <w:color w:val="aeaaaa" w:themeColor="background2" w:themeShade="bf"/>
        <w:sz w:val="20"/>
        <w:szCs w:val="20"/>
      </w:rPr>
      <w:fldChar w:fldCharType="separate"/>
    </w:r>
    <w:r>
      <w:rPr>
        <w:rFonts w:ascii="Arial" w:cs="Arial" w:hAnsi="Arial"/>
        <w:b/>
        <w:bCs/>
        <w:color w:val="aeaaaa" w:themeColor="background2" w:themeShade="bf"/>
        <w:sz w:val="20"/>
        <w:szCs w:val="20"/>
      </w:rPr>
      <w:t>2</w:t>
    </w:r>
    <w:r>
      <w:rPr>
        <w:rFonts w:ascii="Arial" w:cs="Arial" w:hAnsi="Arial"/>
        <w:color w:val="aeaaaa" w:themeColor="background2" w:themeShade="bf"/>
        <w:sz w:val="20"/>
        <w:szCs w:val="20"/>
      </w:rPr>
      <w:fldChar w:fldCharType="end"/>
    </w:r>
    <w:r>
      <w:rPr>
        <w:rFonts w:ascii="Arial" w:cs="Arial" w:hAnsi="Arial"/>
        <w:color w:val="aeaaaa" w:themeColor="background2" w:themeShade="bf"/>
        <w:sz w:val="20"/>
        <w:szCs w:val="20"/>
      </w:rPr>
      <w:t xml:space="preserve"> of </w:t>
    </w:r>
    <w:r>
      <w:rPr>
        <w:rFonts w:ascii="Arial" w:cs="Arial" w:hAnsi="Arial"/>
        <w:b/>
        <w:bCs/>
        <w:color w:val="aeaaaa" w:themeColor="background2" w:themeShade="bf"/>
        <w:sz w:val="20"/>
        <w:szCs w:val="20"/>
      </w:rPr>
      <w:fldChar w:fldCharType="begin"/>
    </w:r>
    <w:r>
      <w:rPr>
        <w:rFonts w:ascii="Arial" w:cs="Arial" w:hAnsi="Arial"/>
        <w:b/>
        <w:bCs/>
        <w:color w:val="aeaaaa" w:themeColor="background2" w:themeShade="bf"/>
        <w:sz w:val="20"/>
        <w:szCs w:val="20"/>
      </w:rPr>
      <w:instrText xml:space="preserve"> NUMPAGES  </w:instrText>
    </w:r>
    <w:r>
      <w:rPr>
        <w:rFonts w:ascii="Arial" w:cs="Arial" w:hAnsi="Arial"/>
        <w:b/>
        <w:bCs/>
        <w:color w:val="aeaaaa" w:themeColor="background2" w:themeShade="bf"/>
        <w:sz w:val="20"/>
        <w:szCs w:val="20"/>
      </w:rPr>
      <w:fldChar w:fldCharType="separate"/>
    </w:r>
    <w:r>
      <w:rPr>
        <w:rFonts w:ascii="Arial" w:cs="Arial" w:hAnsi="Arial"/>
        <w:b/>
        <w:bCs/>
        <w:color w:val="aeaaaa" w:themeColor="background2" w:themeShade="bf"/>
        <w:sz w:val="20"/>
        <w:szCs w:val="20"/>
      </w:rPr>
      <w:t>2</w:t>
    </w:r>
    <w:r>
      <w:rPr>
        <w:sz w:val="20"/>
        <w:szCs w:val="20"/>
      </w:rPr>
      <w:fldChar w:fldCharType="end"/>
    </w:r>
  </w:p>
  <w:p w14:paraId="00000094">
    <w:pPr>
      <w:pStyle w:val="Foo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multiLevelType w:val="hybridMultilevel"/>
    <w:lvl w:ilvl="0" w:tentative="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0">
    <w:multiLevelType w:val="hybridMultilevel"/>
    <w:lvl w:ilvl="0" w:tentative="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multiLevelType w:val="multilevel"/>
    <w:lvl w:ilvl="0" w:tentative="0">
      <w:start w:val="1"/>
      <w:numFmt w:val="decimal"/>
      <w:lvlText w:val="%1."/>
      <w:lvlJc w:val="left"/>
      <w:pPr>
        <w:ind w:left="360" w:hanging="360"/>
      </w:pPr>
      <w:rPr>
        <w:rFonts w:hint="default"/>
      </w:rPr>
    </w:lvl>
    <w:lvl w:ilvl="1" w:tentative="0">
      <w:start w:val="1"/>
      <w:numFmt w:val="decimal"/>
      <w:isLgl w:val="on"/>
      <w:lvlText w:val="%1.%2"/>
      <w:lvlJc w:val="left"/>
      <w:pPr>
        <w:ind w:left="360" w:hanging="360"/>
      </w:pPr>
      <w:rPr>
        <w:rFonts w:hint="default"/>
      </w:rPr>
    </w:lvl>
    <w:lvl w:ilvl="2" w:tentative="0">
      <w:start w:val="1"/>
      <w:numFmt w:val="decimal"/>
      <w:isLgl w:val="on"/>
      <w:lvlText w:val="%1.%2.%3"/>
      <w:lvlJc w:val="left"/>
      <w:pPr>
        <w:ind w:left="720" w:hanging="720"/>
      </w:pPr>
      <w:rPr>
        <w:rFonts w:hint="default"/>
      </w:rPr>
    </w:lvl>
    <w:lvl w:ilvl="3" w:tentative="0">
      <w:start w:val="1"/>
      <w:numFmt w:val="decimal"/>
      <w:isLgl w:val="on"/>
      <w:lvlText w:val="%1.%2.%3.%4"/>
      <w:lvlJc w:val="left"/>
      <w:pPr>
        <w:ind w:left="720" w:hanging="720"/>
      </w:pPr>
      <w:rPr>
        <w:rFonts w:hint="default"/>
      </w:rPr>
    </w:lvl>
    <w:lvl w:ilvl="4" w:tentative="0">
      <w:start w:val="1"/>
      <w:numFmt w:val="decimal"/>
      <w:isLgl w:val="on"/>
      <w:lvlText w:val="%1.%2.%3.%4.%5"/>
      <w:lvlJc w:val="left"/>
      <w:pPr>
        <w:ind w:left="1080" w:hanging="1080"/>
      </w:pPr>
      <w:rPr>
        <w:rFonts w:hint="default"/>
      </w:rPr>
    </w:lvl>
    <w:lvl w:ilvl="5" w:tentative="0">
      <w:start w:val="1"/>
      <w:numFmt w:val="decimal"/>
      <w:isLgl w:val="on"/>
      <w:lvlText w:val="%1.%2.%3.%4.%5.%6"/>
      <w:lvlJc w:val="left"/>
      <w:pPr>
        <w:ind w:left="1080" w:hanging="1080"/>
      </w:pPr>
      <w:rPr>
        <w:rFonts w:hint="default"/>
      </w:rPr>
    </w:lvl>
    <w:lvl w:ilvl="6" w:tentative="0">
      <w:start w:val="1"/>
      <w:numFmt w:val="decimal"/>
      <w:isLgl w:val="on"/>
      <w:lvlText w:val="%1.%2.%3.%4.%5.%6.%7"/>
      <w:lvlJc w:val="left"/>
      <w:pPr>
        <w:ind w:left="1440" w:hanging="1440"/>
      </w:pPr>
      <w:rPr>
        <w:rFonts w:hint="default"/>
      </w:rPr>
    </w:lvl>
    <w:lvl w:ilvl="7" w:tentative="0">
      <w:start w:val="1"/>
      <w:numFmt w:val="decimal"/>
      <w:isLgl w:val="on"/>
      <w:lvlText w:val="%1.%2.%3.%4.%5.%6.%7.%8"/>
      <w:lvlJc w:val="left"/>
      <w:pPr>
        <w:ind w:left="1440" w:hanging="1440"/>
      </w:pPr>
      <w:rPr>
        <w:rFonts w:hint="default"/>
      </w:rPr>
    </w:lvl>
    <w:lvl w:ilvl="8" w:tentative="0">
      <w:start w:val="1"/>
      <w:numFmt w:val="decimal"/>
      <w:isLgl w:val="on"/>
      <w:lvlText w:val="%1.%2.%3.%4.%5.%6.%7.%8.%9"/>
      <w:lvlJc w:val="left"/>
      <w:pPr>
        <w:ind w:left="1800" w:hanging="1800"/>
      </w:pPr>
      <w:rPr>
        <w:rFonts w:hint="default"/>
      </w:rPr>
    </w:lvl>
  </w:abstractNum>
  <w:abstractNum w:abstractNumId="12">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3">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abstractNum w:abstractNumId="16"/>
  <w:abstractNum w:abstractNumId="17"/>
  <w:abstractNum w:abstractNumId="18"/>
  <w:abstractNum w:abstractNumId="19"/>
  <w:abstractNum w:abstractNumId="20"/>
  <w:abstractNum w:abstractNumId="21"/>
  <w:abstractNum w:abstractNumId="22"/>
  <w:abstractNum w:abstractNumId="23"/>
  <w:abstractNum w:abstractNumId="24">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25">
    <w:multiLevelType w:val="hybridMultilevel"/>
    <w:lvl w:ilvl="0" w:tentative="0">
      <w:start w:val="1"/>
      <w:numFmt w:val="bullet"/>
      <w:isLgl w:val="off"/>
      <w:suff w:val="tab"/>
      <w:lvlText w:val=""/>
      <w:lvlJc w:val="left"/>
      <w:pPr>
        <w:ind w:left="720" w:hanging="360"/>
      </w:pPr>
      <w:rPr>
        <w:rFonts w:ascii="Symbol" w:hAnsi="Symbol"/>
      </w:rPr>
    </w:lvl>
    <w:lvl w:ilvl="1" w:tentative="1">
      <w:start w:val="1"/>
      <w:numFmt w:val="bullet"/>
      <w:isLgl w:val="off"/>
      <w:suff w:val="tab"/>
      <w:lvlText w:val="o"/>
      <w:lvlJc w:val="left"/>
      <w:pPr>
        <w:ind w:left="1440" w:hanging="360"/>
      </w:pPr>
      <w:rPr>
        <w:rFonts w:ascii="Courier New" w:cs="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cs="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cs="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26"/>
  <w:abstractNum w:abstractNumId="27"/>
  <w:num w:numId="1">
    <w:abstractNumId w:val="11"/>
  </w:num>
  <w:num w:numId="2">
    <w:abstractNumId w:val="12"/>
  </w:num>
  <w:num w:numId="3">
    <w:abstractNumId w:val="1"/>
  </w:num>
  <w:num w:numId="4">
    <w:abstractNumId w:val="13"/>
  </w:num>
  <w:num w:numId="5">
    <w:abstractNumId w:val="2"/>
  </w:num>
  <w:num w:numId="6">
    <w:abstractNumId w:val="4"/>
  </w:num>
  <w:num w:numId="7">
    <w:abstractNumId w:val="10"/>
  </w:num>
  <w:num w:numId="8">
    <w:abstractNumId w:val="8"/>
  </w:num>
  <w:num w:numId="9">
    <w:abstractNumId w:val="6"/>
  </w:num>
  <w:num w:numId="10">
    <w:abstractNumId w:val="7"/>
  </w:num>
  <w:num w:numId="11">
    <w:abstractNumId w:val="9"/>
  </w:num>
  <w:num w:numId="12">
    <w:abstractNumId w:val="3"/>
  </w:num>
  <w:num w:numId="13">
    <w:abstractNumId w:val="14"/>
  </w:num>
  <w:num w:numId="14">
    <w:abstractNumId w:val="5"/>
  </w:num>
  <w:num w:numId="15">
    <w:abstractNumId w:val="0"/>
  </w:num>
  <w:num w:numId="16">
    <w:abstractNumId w:val="15"/>
    <w:lvlOverride w:ilvl="0">
      <w:lvl w:ilvl="0" w:tentative="1">
        <w:numFmt w:val="bullet"/>
        <w:suff w:val="tab"/>
        <w:lvlText w:val="·"/>
        <w:rPr/>
      </w:lvl>
    </w:lvlOverride>
  </w:num>
  <w:num w:numId="17">
    <w:abstractNumId w:val="16"/>
    <w:lvlOverride w:ilvl="0">
      <w:lvl w:ilvl="0" w:tentative="1">
        <w:numFmt w:val="bullet"/>
        <w:suff w:val="tab"/>
        <w:lvlText w:val="·"/>
        <w:rPr/>
      </w:lvl>
    </w:lvlOverride>
  </w:num>
  <w:num w:numId="18">
    <w:abstractNumId w:val="17"/>
    <w:lvlOverride w:ilvl="0">
      <w:lvl w:ilvl="0" w:tentative="1">
        <w:numFmt w:val="bullet"/>
        <w:suff w:val="tab"/>
        <w:lvlText w:val="·"/>
        <w:rPr/>
      </w:lvl>
    </w:lvlOverride>
  </w:num>
  <w:num w:numId="19">
    <w:abstractNumId w:val="18"/>
    <w:lvlOverride w:ilvl="0">
      <w:lvl w:ilvl="0" w:tentative="1">
        <w:numFmt w:val="bullet"/>
        <w:suff w:val="tab"/>
        <w:lvlText w:val="·"/>
        <w:rPr/>
      </w:lvl>
    </w:lvlOverride>
  </w:num>
  <w:num w:numId="20">
    <w:abstractNumId w:val="19"/>
    <w:lvlOverride w:ilvl="0">
      <w:lvl w:ilvl="0" w:tentative="1">
        <w:numFmt w:val="bullet"/>
        <w:suff w:val="tab"/>
        <w:lvlText w:val="·"/>
        <w:rPr/>
      </w:lvl>
    </w:lvlOverride>
  </w:num>
  <w:num w:numId="21">
    <w:abstractNumId w:val="20"/>
    <w:lvlOverride w:ilvl="0">
      <w:lvl w:ilvl="0" w:tentative="1">
        <w:numFmt w:val="bullet"/>
        <w:suff w:val="tab"/>
        <w:lvlText w:val="·"/>
        <w:rPr/>
      </w:lvl>
    </w:lvlOverride>
  </w:num>
  <w:num w:numId="22">
    <w:abstractNumId w:val="21"/>
    <w:lvlOverride w:ilvl="0">
      <w:lvl w:ilvl="0" w:tentative="1">
        <w:numFmt w:val="bullet"/>
        <w:suff w:val="tab"/>
        <w:lvlText w:val="·"/>
        <w:rPr/>
      </w:lvl>
    </w:lvlOverride>
  </w:num>
  <w:num w:numId="23">
    <w:abstractNumId w:val="22"/>
    <w:lvlOverride w:ilvl="0">
      <w:lvl w:ilvl="0" w:tentative="1">
        <w:numFmt w:val="bullet"/>
        <w:suff w:val="tab"/>
        <w:lvlText w:val="·"/>
        <w:rPr/>
      </w:lvl>
    </w:lvlOverride>
  </w:num>
  <w:num w:numId="24">
    <w:abstractNumId w:val="23"/>
    <w:lvlOverride w:ilvl="0">
      <w:lvl w:ilvl="0" w:tentative="1">
        <w:numFmt w:val="bullet"/>
        <w:suff w:val="tab"/>
        <w:lvlText w:val="·"/>
        <w:rPr/>
      </w:lvl>
    </w:lvlOverride>
  </w:num>
  <w:num w:numId="25">
    <w:abstractNumId w:val="24"/>
  </w:num>
  <w:num w:numId="26">
    <w:abstractNumId w:val="25"/>
  </w:num>
  <w:num w:numId="27">
    <w:abstractNumId w:val="26"/>
    <w:lvlOverride w:ilvl="0">
      <w:lvl w:ilvl="0" w:tentative="1">
        <w:numFmt w:val="bullet"/>
        <w:suff w:val="tab"/>
        <w:lvlText w:val="·"/>
        <w:rPr/>
      </w:lvl>
    </w:lvlOverride>
  </w:num>
  <w:num w:numId="28">
    <w:abstractNumId w:val="27"/>
    <w:lvlOverride w:ilvl="0">
      <w:lvl w:ilvl="0" w:tentative="1">
        <w:numFmt w:val="bullet"/>
        <w:suff w:val="tab"/>
        <w:lvlText w:val="·"/>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25"/>
    <w:rsid w:val="00002885"/>
    <w:rsid w:val="00005EB8"/>
    <w:rsid w:val="000E1E0E"/>
    <w:rsid w:val="00116EDC"/>
    <w:rsid w:val="0012189D"/>
    <w:rsid w:val="001553AA"/>
    <w:rsid w:val="002115AB"/>
    <w:rsid w:val="00235420"/>
    <w:rsid w:val="00241DDE"/>
    <w:rsid w:val="0029297D"/>
    <w:rsid w:val="002B279A"/>
    <w:rsid w:val="002B73D3"/>
    <w:rsid w:val="002E78EE"/>
    <w:rsid w:val="003207FC"/>
    <w:rsid w:val="00352AB5"/>
    <w:rsid w:val="00366164"/>
    <w:rsid w:val="003C1DC9"/>
    <w:rsid w:val="003C47FB"/>
    <w:rsid w:val="003D560A"/>
    <w:rsid w:val="003D5E9A"/>
    <w:rsid w:val="00436AA9"/>
    <w:rsid w:val="00487CD0"/>
    <w:rsid w:val="004A0B7B"/>
    <w:rsid w:val="00504CF3"/>
    <w:rsid w:val="00516B12"/>
    <w:rsid w:val="00553E81"/>
    <w:rsid w:val="005644D1"/>
    <w:rsid w:val="00585005"/>
    <w:rsid w:val="005A7FE0"/>
    <w:rsid w:val="005B52FE"/>
    <w:rsid w:val="005B6E5F"/>
    <w:rsid w:val="005C4785"/>
    <w:rsid w:val="00617E0D"/>
    <w:rsid w:val="00630B73"/>
    <w:rsid w:val="006846B1"/>
    <w:rsid w:val="006F2D43"/>
    <w:rsid w:val="007573EB"/>
    <w:rsid w:val="00761D0D"/>
    <w:rsid w:val="0078270F"/>
    <w:rsid w:val="008134CC"/>
    <w:rsid w:val="00862D80"/>
    <w:rsid w:val="00873BB9"/>
    <w:rsid w:val="0088528C"/>
    <w:rsid w:val="0089502F"/>
    <w:rsid w:val="008C50D7"/>
    <w:rsid w:val="008E412E"/>
    <w:rsid w:val="008E433C"/>
    <w:rsid w:val="00917264"/>
    <w:rsid w:val="00917954"/>
    <w:rsid w:val="00930326"/>
    <w:rsid w:val="009456A2"/>
    <w:rsid w:val="0095122F"/>
    <w:rsid w:val="00992DBF"/>
    <w:rsid w:val="00994F38"/>
    <w:rsid w:val="00A363EA"/>
    <w:rsid w:val="00AB32DC"/>
    <w:rsid w:val="00AF7645"/>
    <w:rsid w:val="00B0376D"/>
    <w:rsid w:val="00B16D99"/>
    <w:rsid w:val="00B238B6"/>
    <w:rsid w:val="00B23CD6"/>
    <w:rsid w:val="00B44B5A"/>
    <w:rsid w:val="00B44C70"/>
    <w:rsid w:val="00B7007E"/>
    <w:rsid w:val="00B743D1"/>
    <w:rsid w:val="00B92BB7"/>
    <w:rsid w:val="00BB1070"/>
    <w:rsid w:val="00BB11CD"/>
    <w:rsid w:val="00BB3D84"/>
    <w:rsid w:val="00BD70BD"/>
    <w:rsid w:val="00C012A1"/>
    <w:rsid w:val="00C10E93"/>
    <w:rsid w:val="00CD05DF"/>
    <w:rsid w:val="00D02625"/>
    <w:rsid w:val="00D0696E"/>
    <w:rsid w:val="00D870CA"/>
    <w:rsid w:val="00E178F2"/>
    <w:rsid w:val="00E77440"/>
    <w:rsid w:val="00E80C59"/>
    <w:rsid w:val="00ED2385"/>
    <w:rsid w:val="00ED7A2D"/>
    <w:rsid w:val="00F11C33"/>
    <w:rsid w:val="00F51F9E"/>
    <w:rsid w:val="00F573DA"/>
    <w:rsid w:val="00F608DE"/>
    <w:rsid w:val="00F770CB"/>
    <w:rsid w:val="00F92F10"/>
    <w:rsid w:val="00FC488A"/>
    <w:rsid w:val="00FD30A1"/>
    <w:rsid w:val="00FD5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8F134"/>
  <w15:chartTrackingRefBased/>
  <w15:docId w15:val="{2B5301E5-FE84-431F-8B36-22313CD3AA0E}"/>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en-GB" w:bidi="ar-SA" w:eastAsia="en-US"/>
      </w:rPr>
    </w:rPrDefault>
    <w:pPrDefault>
      <w:pPr>
        <w:spacing w:after="160" w:line="259"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val="on"/>
    <w:pPr>
      <w:ind w:left="720"/>
      <w:contextualSpacing w:val="on"/>
    </w:pPr>
  </w:style>
  <w:style w:type="paragraph" w:styleId="Header">
    <w:name w:val="Header"/>
    <w:basedOn w:val="Normal"/>
    <w:link w:val="HeaderChar"/>
    <w:uiPriority w:val="99"/>
    <w:unhideWhenUsed w:val="on"/>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val="o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6" Type="http://schemas.openxmlformats.org/officeDocument/2006/relationships/footer" Target="foot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4" Type="http://schemas.openxmlformats.org/officeDocument/2006/relationships/webSettings" Target="webSettings.xml"/><Relationship Id="rId12" Type="http://schemas.microsoft.com/office/2011/relationships/commentsExtended" Target="commentsEx.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Clark</dc:creator>
  <cp:lastModifiedBy>Angela Evans</cp:lastModifiedBy>
</cp:coreProperties>
</file>