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comments.xml" ContentType="application/vnd.openxmlformats-officedocument.wordprocessingml.comments+xml"/>
  <Override PartName="/docProps/core.xml" ContentType="application/vnd.openxmlformats-package.core-properties+xml"/>
  <Override PartName="/docProps/app.xml" ContentType="application/vnd.openxmlformats-officedocument.extended-properties+xml"/>
  <Override PartName="/word/commentsEx.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14:paraId="00000005">
      <w:pPr>
        <w:spacing w:line="276" w:lineRule="auto"/>
        <w:jc w:val="center"/>
        <w:rPr>
          <w:rFonts w:ascii="Arial" w:cs="Arial" w:hAnsi="Arial"/>
          <w:b/>
          <w:sz w:val="24"/>
          <w:szCs w:val="24"/>
        </w:rPr>
      </w:pPr>
      <w:r>
        <w:rPr>
          <w:rFonts w:ascii="Arial" w:cs="Arial" w:hAnsi="Arial"/>
          <w:b/>
          <w:sz w:val="24"/>
          <w:szCs w:val="24"/>
        </w:rPr>
        <w:t>TREWERN</w:t>
      </w:r>
      <w:r>
        <w:rPr>
          <w:rFonts w:ascii="Arial" w:cs="Arial" w:hAnsi="Arial"/>
          <w:b/>
          <w:sz w:val="24"/>
          <w:szCs w:val="24"/>
        </w:rPr>
        <w:t xml:space="preserve"> COMMUNITY COUNCIL / CYNGOR CYMUNED </w:t>
      </w:r>
      <w:r>
        <w:rPr>
          <w:rFonts w:ascii="Arial" w:cs="Arial" w:hAnsi="Arial"/>
          <w:b/>
          <w:sz w:val="24"/>
          <w:szCs w:val="24"/>
        </w:rPr>
        <w:t>TREWERN</w:t>
      </w:r>
    </w:p>
    <w:p w14:paraId="00000006">
      <w:pPr>
        <w:spacing w:line="276" w:lineRule="auto"/>
        <w:jc w:val="center"/>
        <w:rPr>
          <w:rFonts w:ascii="Arial" w:cs="Arial" w:hAnsi="Arial"/>
          <w:b/>
        </w:rPr>
      </w:pPr>
      <w:r>
        <w:rPr>
          <w:rFonts w:ascii="Arial" w:cs="Arial" w:hAnsi="Arial"/>
          <w:b/>
        </w:rPr>
        <w:t>FREEDOM OF INFORMATION ACT 2000 – MODEL PUBLICATION SCHEME</w:t>
      </w:r>
    </w:p>
    <w:p w14:paraId="00000007">
      <w:pPr>
        <w:rPr>
          <w:rFonts w:ascii="Arial" w:cs="Arial" w:hAnsi="Arial"/>
        </w:rPr>
      </w:pPr>
      <w:r>
        <w:rPr>
          <w:rFonts w:ascii="Arial" w:cs="Arial" w:hAnsi="Arial"/>
        </w:rPr>
        <w:t>Trewern</w:t>
      </w:r>
      <w:r>
        <w:rPr>
          <w:rFonts w:ascii="Arial" w:cs="Arial" w:hAnsi="Arial"/>
        </w:rPr>
        <w:t xml:space="preserve"> </w:t>
      </w:r>
      <w:r>
        <w:rPr>
          <w:rFonts w:ascii="Arial" w:cs="Arial" w:hAnsi="Arial"/>
        </w:rPr>
        <w:t xml:space="preserve">Community Council has a duty under the Freedom of Information Act to adopt and maintain a publication scheme, and will proactively publish or otherwise make available as a matter of routine, information which is held by the Community Council and falls within the classifications below. </w:t>
      </w:r>
    </w:p>
    <w:p w14:paraId="00000008">
      <w:pPr>
        <w:rPr>
          <w:rFonts w:ascii="Arial" w:cs="Arial" w:hAnsi="Arial"/>
          <w:b/>
        </w:rPr>
      </w:pPr>
      <w:r>
        <w:rPr>
          <w:rFonts w:ascii="Arial" w:cs="Arial" w:hAnsi="Arial"/>
          <w:b/>
        </w:rPr>
        <w:t xml:space="preserve">Freedom of Information Requests </w:t>
      </w:r>
    </w:p>
    <w:p w14:paraId="00000009">
      <w:pPr>
        <w:rPr>
          <w:rFonts w:ascii="Arial" w:cs="Arial" w:hAnsi="Arial"/>
        </w:rPr>
      </w:pPr>
      <w:r>
        <w:rPr>
          <w:rFonts w:ascii="Arial" w:cs="Arial" w:hAnsi="Arial"/>
        </w:rPr>
        <w:t>This publication scheme sets out the information that is routinely available. Information that is not listed in the guide to information can still be requested.</w:t>
      </w:r>
      <w:r>
        <w:rPr>
          <w:rFonts w:ascii="Arial" w:cs="Arial" w:hAnsi="Arial"/>
        </w:rPr>
        <w:t xml:space="preserve"> </w:t>
      </w:r>
      <w:r>
        <w:rPr>
          <w:rFonts w:ascii="Arial" w:cs="Arial" w:hAnsi="Arial"/>
        </w:rPr>
        <w:t xml:space="preserve">The Council has a right to withhold confidential and sensitive information. </w:t>
      </w:r>
    </w:p>
    <w:p w14:paraId="0000000A">
      <w:pPr>
        <w:rPr>
          <w:rFonts w:ascii="Arial" w:cs="Arial" w:hAnsi="Arial"/>
        </w:rPr>
      </w:pPr>
      <w:r>
        <w:rPr>
          <w:rFonts w:ascii="Arial" w:cs="Arial" w:hAnsi="Arial"/>
        </w:rPr>
        <w:t xml:space="preserve">Where a request for information is made, we will either provide the information requested or issue a notice stating the reason(s) why any information requested cannot be provided. You will be informed of the outcome of your request no later than the twentieth working day following the date the request is received. </w:t>
      </w:r>
    </w:p>
    <w:p w14:paraId="0000000B">
      <w:pPr>
        <w:rPr>
          <w:rFonts w:ascii="Arial" w:cs="Arial" w:hAnsi="Arial"/>
          <w:b/>
        </w:rPr>
      </w:pPr>
      <w:r>
        <w:rPr>
          <w:rFonts w:ascii="Arial" w:cs="Arial" w:hAnsi="Arial"/>
          <w:b/>
        </w:rPr>
        <w:t xml:space="preserve">Charges </w:t>
      </w:r>
    </w:p>
    <w:p w14:paraId="0000000C">
      <w:pPr>
        <w:rPr>
          <w:rFonts w:ascii="Arial" w:cs="Arial" w:hAnsi="Arial"/>
        </w:rPr>
      </w:pPr>
      <w:r>
        <w:rPr>
          <w:rFonts w:ascii="Arial" w:cs="Arial" w:hAnsi="Arial"/>
        </w:rPr>
        <w:t xml:space="preserve">The Council aims to make the maximum amount of information readily available at minimum inconvenience and cost to the public. </w:t>
      </w:r>
    </w:p>
    <w:p w14:paraId="0000000D">
      <w:pPr>
        <w:rPr>
          <w:rFonts w:ascii="Arial" w:cs="Arial" w:hAnsi="Arial"/>
        </w:rPr>
      </w:pPr>
      <w:r>
        <w:rPr>
          <w:rFonts w:ascii="Arial" w:cs="Arial" w:hAnsi="Arial"/>
        </w:rPr>
        <w:t xml:space="preserve">The Council may charge for information under this scheme; however, any charges will be on the basis of cost recovery, and will be kept to a minimum.  Anyone requesting information will be informed of any charge, and payment may be requested prior to the provision of the information.  </w:t>
      </w:r>
    </w:p>
    <w:p w14:paraId="0000000E">
      <w:pPr>
        <w:rPr>
          <w:rFonts w:ascii="Arial" w:cs="Arial" w:hAnsi="Arial"/>
        </w:rPr>
      </w:pPr>
      <w:r>
        <w:rPr>
          <w:rFonts w:ascii="Arial" w:cs="Arial" w:hAnsi="Arial"/>
        </w:rPr>
        <w:t xml:space="preserve">Charges may be made for actual disbursements incurred such as photocopying, postage and costs directly incurred as a result of viewing information </w:t>
      </w:r>
    </w:p>
    <w:p w14:paraId="0000000F">
      <w:pPr>
        <w:rPr>
          <w:rFonts w:ascii="Arial" w:cs="Arial" w:hAnsi="Arial"/>
          <w:b/>
        </w:rPr>
      </w:pPr>
      <w:r>
        <w:rPr>
          <w:rFonts w:ascii="Arial" w:cs="Arial" w:hAnsi="Arial"/>
          <w:b/>
        </w:rPr>
        <w:t xml:space="preserve">Schedule of Charges </w:t>
      </w:r>
    </w:p>
    <w:p w14:paraId="00000010">
      <w:pPr>
        <w:rPr>
          <w:rFonts w:ascii="Arial" w:cs="Arial" w:hAnsi="Arial"/>
        </w:rPr>
      </w:pPr>
      <w:r>
        <w:rPr>
          <w:rFonts w:ascii="Arial" w:cs="Arial" w:hAnsi="Arial"/>
        </w:rPr>
        <w:t xml:space="preserve">This describes how the charges have been arrived. </w:t>
      </w:r>
    </w:p>
    <w:tbl>
      <w:tblPr>
        <w:tblStyle w:val="TableGrid"/>
        <w:tblW w:w="0" w:type="auto"/>
        <w:tblLook w:val="04A0"/>
      </w:tblPr>
      <w:tblGrid>
        <w:gridCol w:w="2263"/>
        <w:gridCol w:w="2694"/>
        <w:gridCol w:w="4059"/>
      </w:tblGrid>
      <w:tr>
        <w:trPr>
          <w:cnfStyle w:val="100000000000"/>
        </w:trPr>
        <w:tc>
          <w:tcPr>
            <w:cnfStyle w:val="101000000000"/>
            <w:tcW w:w="2263" w:type="dxa"/>
          </w:tcPr>
          <w:p w14:paraId="00000011">
            <w:pPr>
              <w:rPr>
                <w:rFonts w:ascii="Arial" w:cs="Arial" w:hAnsi="Arial"/>
                <w:b/>
                <w:sz w:val="22"/>
                <w:szCs w:val="22"/>
              </w:rPr>
            </w:pPr>
            <w:r>
              <w:rPr>
                <w:rFonts w:ascii="Arial" w:cs="Arial" w:hAnsi="Arial"/>
                <w:b/>
                <w:sz w:val="22"/>
                <w:szCs w:val="22"/>
              </w:rPr>
              <w:t>CHARGE TYPE</w:t>
            </w:r>
          </w:p>
        </w:tc>
        <w:tc>
          <w:tcPr>
            <w:cnfStyle w:val="100000000000"/>
            <w:tcW w:w="2694" w:type="dxa"/>
          </w:tcPr>
          <w:p w14:paraId="00000012">
            <w:pPr>
              <w:rPr>
                <w:rFonts w:ascii="Arial" w:cs="Arial" w:hAnsi="Arial"/>
                <w:b/>
                <w:sz w:val="22"/>
                <w:szCs w:val="22"/>
              </w:rPr>
            </w:pPr>
            <w:r>
              <w:rPr>
                <w:rFonts w:ascii="Arial" w:cs="Arial" w:hAnsi="Arial"/>
                <w:b/>
                <w:sz w:val="22"/>
                <w:szCs w:val="22"/>
              </w:rPr>
              <w:t>DESCRIPTION</w:t>
            </w:r>
          </w:p>
        </w:tc>
        <w:tc>
          <w:tcPr>
            <w:cnfStyle w:val="100000000000"/>
            <w:tcW w:w="4059" w:type="dxa"/>
          </w:tcPr>
          <w:p w14:paraId="00000013">
            <w:pPr>
              <w:rPr>
                <w:rFonts w:ascii="Arial" w:cs="Arial" w:hAnsi="Arial"/>
                <w:b/>
                <w:sz w:val="22"/>
                <w:szCs w:val="22"/>
              </w:rPr>
            </w:pPr>
            <w:r>
              <w:rPr>
                <w:rFonts w:ascii="Arial" w:cs="Arial" w:hAnsi="Arial"/>
                <w:b/>
                <w:sz w:val="22"/>
                <w:szCs w:val="22"/>
              </w:rPr>
              <w:t>BASIS OF CHARGE</w:t>
            </w:r>
          </w:p>
        </w:tc>
      </w:tr>
      <w:tr>
        <w:trPr>
          <w:cnfStyle w:val="000000100000"/>
        </w:trPr>
        <w:tc>
          <w:tcPr>
            <w:cnfStyle w:val="001000100000"/>
            <w:tcW w:w="2263" w:type="dxa"/>
          </w:tcPr>
          <w:p w14:paraId="00000014">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b/>
                <w:bCs/>
                <w:color w:val="000000"/>
                <w:sz w:val="22"/>
                <w:szCs w:val="22"/>
                <w:rtl w:val="off"/>
                <w:lang w:val="en-US"/>
              </w:rPr>
              <w:t xml:space="preserve">Disbursement cost </w:t>
            </w:r>
          </w:p>
          <w:p w14:paraId="00000015">
            <w:pPr>
              <w:rPr>
                <w:rFonts w:ascii="Arial" w:cs="Arial" w:hAnsi="Arial"/>
                <w:b/>
                <w:sz w:val="22"/>
                <w:szCs w:val="22"/>
              </w:rPr>
            </w:pPr>
          </w:p>
        </w:tc>
        <w:tc>
          <w:tcPr>
            <w:cnfStyle w:val="000000100000"/>
            <w:tcW w:w="2694" w:type="dxa"/>
          </w:tcPr>
          <w:p w14:paraId="00000016">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color w:val="000000"/>
                <w:sz w:val="22"/>
                <w:szCs w:val="22"/>
                <w:rtl w:val="off"/>
                <w:lang w:val="en-US"/>
              </w:rPr>
              <w:t xml:space="preserve">Photocopying (Black &amp; White) @ 10p per sheet </w:t>
            </w:r>
          </w:p>
          <w:p w14:paraId="00000017">
            <w:pPr>
              <w:rPr>
                <w:rFonts w:ascii="Arial" w:cs="Arial" w:hAnsi="Arial"/>
                <w:sz w:val="22"/>
                <w:szCs w:val="22"/>
              </w:rPr>
            </w:pPr>
          </w:p>
        </w:tc>
        <w:tc>
          <w:tcPr>
            <w:cnfStyle w:val="000000100000"/>
            <w:tcW w:w="4059" w:type="dxa"/>
          </w:tcPr>
          <w:p w14:paraId="00000018">
            <w:pPr>
              <w:rPr>
                <w:rFonts w:ascii="Arial" w:cs="Arial" w:hAnsi="Arial"/>
                <w:sz w:val="22"/>
                <w:szCs w:val="22"/>
              </w:rPr>
            </w:pPr>
            <w:r>
              <w:rPr>
                <w:rFonts w:ascii="Arial" w:cs="Arial" w:hAnsi="Arial"/>
                <w:sz w:val="22"/>
                <w:szCs w:val="22"/>
              </w:rPr>
              <w:t xml:space="preserve">Actual cost *   </w:t>
            </w:r>
          </w:p>
        </w:tc>
      </w:tr>
      <w:tr>
        <w:trPr>
          <w:cnfStyle w:val="000000010000"/>
        </w:trPr>
        <w:tc>
          <w:tcPr>
            <w:cnfStyle w:val="001000010000"/>
            <w:tcW w:w="2263" w:type="dxa"/>
          </w:tcPr>
          <w:p w14:paraId="00000019">
            <w:pPr>
              <w:rPr>
                <w:rFonts w:ascii="Arial" w:cs="Arial" w:hAnsi="Arial"/>
                <w:b/>
                <w:sz w:val="22"/>
                <w:szCs w:val="22"/>
              </w:rPr>
            </w:pPr>
          </w:p>
        </w:tc>
        <w:tc>
          <w:tcPr>
            <w:cnfStyle w:val="000000010000"/>
            <w:tcW w:w="2694" w:type="dxa"/>
          </w:tcPr>
          <w:p w14:paraId="0000001A">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color w:val="000000"/>
                <w:sz w:val="22"/>
                <w:szCs w:val="22"/>
                <w:rtl w:val="off"/>
                <w:lang w:val="en-US"/>
              </w:rPr>
              <w:t xml:space="preserve">Photocopying (Colour) @ 12p per sheet </w:t>
            </w:r>
          </w:p>
          <w:p w14:paraId="0000001B">
            <w:pPr>
              <w:rPr>
                <w:rFonts w:ascii="Arial" w:cs="Arial" w:hAnsi="Arial"/>
                <w:sz w:val="22"/>
                <w:szCs w:val="22"/>
              </w:rPr>
            </w:pPr>
          </w:p>
        </w:tc>
        <w:tc>
          <w:tcPr>
            <w:cnfStyle w:val="000000010000"/>
            <w:tcW w:w="4059" w:type="dxa"/>
          </w:tcPr>
          <w:p w14:paraId="0000001C">
            <w:pPr>
              <w:rPr>
                <w:rFonts w:ascii="Arial" w:cs="Arial" w:hAnsi="Arial"/>
                <w:sz w:val="22"/>
                <w:szCs w:val="22"/>
              </w:rPr>
            </w:pPr>
            <w:r>
              <w:rPr>
                <w:rFonts w:ascii="Arial" w:cs="Arial" w:hAnsi="Arial"/>
                <w:sz w:val="22"/>
                <w:szCs w:val="22"/>
              </w:rPr>
              <w:t xml:space="preserve">Actual cost *   </w:t>
            </w:r>
          </w:p>
        </w:tc>
      </w:tr>
      <w:tr>
        <w:trPr>
          <w:cnfStyle w:val="000000100000"/>
        </w:trPr>
        <w:tc>
          <w:tcPr>
            <w:cnfStyle w:val="001000100000"/>
            <w:tcW w:w="2263" w:type="dxa"/>
          </w:tcPr>
          <w:p w14:paraId="0000001D">
            <w:pPr>
              <w:rPr>
                <w:rFonts w:ascii="Arial" w:cs="Arial" w:hAnsi="Arial"/>
                <w:b/>
                <w:sz w:val="22"/>
                <w:szCs w:val="22"/>
              </w:rPr>
            </w:pPr>
          </w:p>
        </w:tc>
        <w:tc>
          <w:tcPr>
            <w:cnfStyle w:val="000000100000"/>
            <w:tcW w:w="2694" w:type="dxa"/>
          </w:tcPr>
          <w:p w14:paraId="0000001E">
            <w:pPr>
              <w:rPr>
                <w:rFonts w:ascii="Arial" w:cs="Arial" w:hAnsi="Arial"/>
                <w:sz w:val="22"/>
                <w:szCs w:val="22"/>
              </w:rPr>
            </w:pPr>
            <w:r>
              <w:rPr>
                <w:rFonts w:ascii="Arial" w:cs="Arial" w:hAnsi="Arial"/>
                <w:sz w:val="22"/>
                <w:szCs w:val="22"/>
              </w:rPr>
              <w:t>Postage</w:t>
              <w:tab/>
            </w:r>
          </w:p>
        </w:tc>
        <w:tc>
          <w:tcPr>
            <w:cnfStyle w:val="000000100000"/>
            <w:tcW w:w="4059" w:type="dxa"/>
          </w:tcPr>
          <w:p w14:paraId="0000001F">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color w:val="000000"/>
                <w:sz w:val="22"/>
                <w:szCs w:val="22"/>
                <w:rtl w:val="off"/>
                <w:lang w:val="en-US"/>
              </w:rPr>
              <w:t xml:space="preserve">Actual cost of Royal Mail standard 2nd class </w:t>
            </w:r>
          </w:p>
          <w:p w14:paraId="00000020">
            <w:pPr>
              <w:rPr>
                <w:rFonts w:ascii="Arial" w:cs="Arial" w:hAnsi="Arial"/>
                <w:sz w:val="22"/>
                <w:szCs w:val="22"/>
              </w:rPr>
            </w:pPr>
          </w:p>
        </w:tc>
      </w:tr>
      <w:tr>
        <w:trPr>
          <w:cnfStyle w:val="000000010000"/>
        </w:trPr>
        <w:tc>
          <w:tcPr>
            <w:cnfStyle w:val="001000010000"/>
            <w:tcW w:w="2263" w:type="dxa"/>
          </w:tcPr>
          <w:p w14:paraId="00000021">
            <w:pPr>
              <w:rPr>
                <w:rFonts w:ascii="Arial" w:cs="Arial" w:hAnsi="Arial"/>
                <w:b/>
                <w:sz w:val="22"/>
                <w:szCs w:val="22"/>
              </w:rPr>
            </w:pPr>
            <w:r>
              <w:rPr>
                <w:rFonts w:ascii="Arial" w:cs="Arial" w:hAnsi="Arial"/>
                <w:b/>
                <w:sz w:val="22"/>
                <w:szCs w:val="22"/>
              </w:rPr>
              <w:t>Statutory Fee</w:t>
              <w:tab/>
            </w:r>
          </w:p>
        </w:tc>
        <w:tc>
          <w:tcPr>
            <w:cnfStyle w:val="000000010000"/>
            <w:tcW w:w="2694" w:type="dxa"/>
          </w:tcPr>
          <w:p w14:paraId="00000022">
            <w:pPr>
              <w:rPr>
                <w:rFonts w:ascii="Arial" w:cs="Arial" w:hAnsi="Arial"/>
                <w:sz w:val="22"/>
                <w:szCs w:val="22"/>
              </w:rPr>
            </w:pPr>
            <w:r>
              <w:rPr>
                <w:rFonts w:ascii="Arial" w:cs="Arial" w:hAnsi="Arial"/>
                <w:sz w:val="22"/>
                <w:szCs w:val="22"/>
              </w:rPr>
              <w:t>Postage</w:t>
            </w:r>
          </w:p>
        </w:tc>
        <w:tc>
          <w:tcPr>
            <w:cnfStyle w:val="000000010000"/>
            <w:tcW w:w="4059" w:type="dxa"/>
          </w:tcPr>
          <w:p w14:paraId="00000023">
            <w:pPr>
              <w:rPr>
                <w:rFonts w:ascii="Arial" w:cs="Arial" w:hAnsi="Arial"/>
                <w:sz w:val="22"/>
                <w:szCs w:val="22"/>
              </w:rPr>
            </w:pPr>
            <w:r>
              <w:rPr>
                <w:rFonts w:ascii="Arial" w:cs="Arial" w:hAnsi="Arial"/>
                <w:sz w:val="22"/>
                <w:szCs w:val="22"/>
              </w:rPr>
              <w:t xml:space="preserve">Actual cost of Royal Mail standard 2nd class </w:t>
            </w:r>
          </w:p>
        </w:tc>
      </w:tr>
      <w:tr>
        <w:trPr>
          <w:cnfStyle w:val="000000100000"/>
        </w:trPr>
        <w:tc>
          <w:tcPr>
            <w:cnfStyle w:val="001000100000"/>
            <w:tcW w:w="2263" w:type="dxa"/>
          </w:tcPr>
          <w:p w14:paraId="00000024">
            <w:pPr>
              <w:rPr>
                <w:rFonts w:ascii="Arial" w:cs="Arial" w:hAnsi="Arial"/>
                <w:b/>
                <w:sz w:val="22"/>
                <w:szCs w:val="22"/>
              </w:rPr>
            </w:pPr>
            <w:r>
              <w:rPr>
                <w:rFonts w:ascii="Arial" w:cs="Arial" w:hAnsi="Arial"/>
                <w:b/>
                <w:sz w:val="22"/>
                <w:szCs w:val="22"/>
              </w:rPr>
              <w:t>Clerk’s Time</w:t>
            </w:r>
            <w:r>
              <w:rPr>
                <w:rFonts w:ascii="Arial" w:cs="Arial" w:hAnsi="Arial"/>
                <w:b/>
                <w:sz w:val="22"/>
                <w:szCs w:val="22"/>
              </w:rPr>
              <w:t xml:space="preserve">  </w:t>
            </w:r>
          </w:p>
        </w:tc>
        <w:tc>
          <w:tcPr>
            <w:cnfStyle w:val="000000100000"/>
            <w:tcW w:w="2694" w:type="dxa"/>
          </w:tcPr>
          <w:p w14:paraId="00000025">
            <w:pPr>
              <w:rPr>
                <w:rFonts w:ascii="Arial" w:cs="Arial" w:hAnsi="Arial"/>
                <w:sz w:val="22"/>
                <w:szCs w:val="22"/>
              </w:rPr>
            </w:pPr>
            <w:r>
              <w:rPr>
                <w:rFonts w:ascii="Arial" w:cs="Arial" w:hAnsi="Arial"/>
                <w:sz w:val="22"/>
                <w:szCs w:val="22"/>
              </w:rPr>
              <w:t>Clerks' time charge</w:t>
              <w:tab/>
            </w:r>
          </w:p>
        </w:tc>
        <w:tc>
          <w:tcPr>
            <w:cnfStyle w:val="000000100000"/>
            <w:tcW w:w="4059" w:type="dxa"/>
          </w:tcPr>
          <w:p w14:paraId="00000026">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s="Arial" w:hAnsi="Arial"/>
                <w:color w:val="000000"/>
                <w:sz w:val="22"/>
                <w:szCs w:val="22"/>
                <w:lang w:val="en-US"/>
              </w:rPr>
            </w:pPr>
            <w:r>
              <w:rPr>
                <w:rFonts w:ascii="Arial" w:cs="Arial" w:hAnsi="Arial"/>
                <w:color w:val="000000"/>
                <w:sz w:val="22"/>
                <w:szCs w:val="22"/>
                <w:rtl w:val="off"/>
                <w:lang w:val="en-US"/>
              </w:rPr>
              <w:t xml:space="preserve">Minimum 15-minute charge </w:t>
            </w:r>
          </w:p>
          <w:p w14:paraId="00000027">
            <w:pPr>
              <w:rPr>
                <w:rFonts w:ascii="Arial" w:cs="Arial" w:hAnsi="Arial"/>
                <w:sz w:val="22"/>
                <w:szCs w:val="22"/>
              </w:rPr>
            </w:pPr>
          </w:p>
        </w:tc>
      </w:tr>
      <w:tr>
        <w:trPr>
          <w:cnfStyle w:val="000000010000"/>
        </w:trPr>
        <w:tc>
          <w:tcPr>
            <w:cnfStyle w:val="001000010000"/>
            <w:tcW w:w="2263" w:type="dxa"/>
          </w:tcPr>
          <w:p w14:paraId="00000028">
            <w:pPr>
              <w:rPr>
                <w:rFonts w:ascii="Arial" w:cs="Arial" w:hAnsi="Arial"/>
                <w:b/>
                <w:sz w:val="22"/>
                <w:szCs w:val="22"/>
              </w:rPr>
            </w:pPr>
            <w:r>
              <w:rPr>
                <w:rFonts w:ascii="Arial" w:cs="Arial" w:hAnsi="Arial"/>
                <w:b/>
                <w:sz w:val="22"/>
                <w:szCs w:val="22"/>
              </w:rPr>
              <w:t>Other</w:t>
            </w:r>
          </w:p>
        </w:tc>
        <w:tc>
          <w:tcPr>
            <w:cnfStyle w:val="000000010000"/>
            <w:tcW w:w="2694" w:type="dxa"/>
          </w:tcPr>
          <w:p w14:paraId="00000029">
            <w:pPr>
              <w:rPr>
                <w:rFonts w:ascii="Arial" w:cs="Arial" w:hAnsi="Arial"/>
                <w:sz w:val="22"/>
                <w:szCs w:val="22"/>
              </w:rPr>
            </w:pPr>
            <w:r>
              <w:rPr>
                <w:rFonts w:ascii="Arial" w:cs="Arial" w:hAnsi="Arial"/>
                <w:sz w:val="22"/>
                <w:szCs w:val="22"/>
              </w:rPr>
              <w:t>Electronic copies</w:t>
              <w:tab/>
            </w:r>
          </w:p>
        </w:tc>
        <w:tc>
          <w:tcPr>
            <w:cnfStyle w:val="000000010000"/>
            <w:tcW w:w="4059" w:type="dxa"/>
          </w:tcPr>
          <w:p w14:paraId="0000002A">
            <w:pPr>
              <w:rPr>
                <w:rFonts w:ascii="Arial" w:cs="Arial" w:hAnsi="Arial"/>
                <w:sz w:val="22"/>
                <w:szCs w:val="22"/>
              </w:rPr>
            </w:pPr>
            <w:r>
              <w:rPr>
                <w:rFonts w:ascii="Arial" w:cs="Arial" w:hAnsi="Arial"/>
                <w:sz w:val="22"/>
                <w:szCs w:val="22"/>
              </w:rPr>
              <w:t xml:space="preserve"> </w:t>
            </w:r>
            <w:r>
              <w:rPr>
                <w:rFonts w:ascii="Arial" w:cs="Arial" w:hAnsi="Arial"/>
                <w:sz w:val="22"/>
                <w:szCs w:val="22"/>
              </w:rPr>
              <w:t>Free</w:t>
            </w:r>
            <w:r>
              <w:rPr>
                <w:rFonts w:ascii="Arial" w:cs="Arial" w:hAnsi="Arial"/>
                <w:sz w:val="22"/>
                <w:szCs w:val="22"/>
              </w:rPr>
              <w:t xml:space="preserve">  </w:t>
            </w:r>
          </w:p>
        </w:tc>
      </w:tr>
    </w:tbl>
    <w:p w14:paraId="0000002B">
      <w:pPr>
        <w:rPr>
          <w:rFonts w:ascii="Arial" w:cs="Arial" w:hAnsi="Arial"/>
          <w:sz w:val="20"/>
          <w:szCs w:val="20"/>
        </w:rPr>
      </w:pPr>
    </w:p>
    <w:p w14:paraId="0000002C">
      <w:pPr>
        <w:rPr>
          <w:rFonts w:ascii="Arial" w:cs="Arial" w:hAnsi="Arial"/>
        </w:rPr>
      </w:pPr>
      <w:r>
        <w:rPr>
          <w:rFonts w:ascii="Arial" w:cs="Arial" w:hAnsi="Arial"/>
          <w:sz w:val="22"/>
          <w:szCs w:val="22"/>
        </w:rPr>
        <w:t>* the actual cost incurred by the Community Council</w:t>
      </w:r>
    </w:p>
    <w:p w14:paraId="0000002D">
      <w:pPr>
        <w:rPr>
          <w:rFonts w:ascii="Arial" w:cs="Arial" w:hAnsi="Arial"/>
          <w:b/>
        </w:rPr>
      </w:pPr>
    </w:p>
    <w:p w14:paraId="0000002E">
      <w:pPr>
        <w:rPr>
          <w:rFonts w:ascii="Arial" w:cs="Arial" w:hAnsi="Arial"/>
          <w:b/>
        </w:rPr>
      </w:pPr>
      <w:r>
        <w:rPr>
          <w:rFonts w:ascii="Arial" w:cs="Arial" w:hAnsi="Arial"/>
          <w:b/>
        </w:rPr>
        <w:t xml:space="preserve">Contact details: </w:t>
      </w:r>
    </w:p>
    <w:p w14:paraId="0000002F">
      <w:pPr>
        <w:pStyle w:val="NoSpacing"/>
        <w:rPr>
          <w:rFonts w:ascii="Arial" w:cs="Arial" w:hAnsi="Arial"/>
        </w:rPr>
      </w:pPr>
      <w:r>
        <w:rPr>
          <w:rFonts w:ascii="Arial" w:cs="Arial" w:hAnsi="Arial"/>
        </w:rPr>
        <w:t>Angela Evans</w:t>
      </w:r>
      <w:r>
        <w:rPr>
          <w:rFonts w:ascii="Arial" w:cs="Arial" w:hAnsi="Arial"/>
        </w:rPr>
        <w:t xml:space="preserve"> Clerk &amp; Responsible Financial Officer  </w:t>
      </w:r>
    </w:p>
    <w:p w14:paraId="00000030">
      <w:pPr>
        <w:pStyle w:val="NoSpacing"/>
        <w:rPr>
          <w:rFonts w:ascii="Arial" w:cs="Arial" w:hAnsi="Arial"/>
        </w:rPr>
      </w:pPr>
      <w:r>
        <w:rPr>
          <w:rFonts w:ascii="Arial" w:cs="Arial" w:hAnsi="Arial"/>
        </w:rPr>
        <w:t>Trewern</w:t>
      </w:r>
      <w:r>
        <w:rPr>
          <w:rFonts w:ascii="Arial" w:cs="Arial" w:hAnsi="Arial"/>
        </w:rPr>
        <w:t xml:space="preserve"> Community Council </w:t>
      </w:r>
    </w:p>
    <w:p w14:paraId="00000031">
      <w:pPr>
        <w:pStyle w:val="NoSpacing"/>
        <w:rPr>
          <w:rFonts w:ascii="Arial" w:cs="Arial" w:hAnsi="Arial"/>
        </w:rPr>
      </w:pPr>
      <w:r>
        <w:rPr>
          <w:rFonts w:ascii="Arial" w:cs="Arial" w:hAnsi="Arial"/>
        </w:rPr>
        <w:t>Kaikoura</w:t>
      </w:r>
    </w:p>
    <w:p w14:paraId="00000032">
      <w:pPr>
        <w:pStyle w:val="NoSpacing"/>
        <w:rPr>
          <w:rFonts w:ascii="Arial" w:cs="Arial" w:hAnsi="Arial"/>
        </w:rPr>
      </w:pPr>
      <w:r>
        <w:rPr>
          <w:rFonts w:ascii="Arial" w:cs="Arial" w:hAnsi="Arial"/>
        </w:rPr>
        <w:t>Middletown</w:t>
      </w:r>
    </w:p>
    <w:p w14:paraId="00000033">
      <w:pPr>
        <w:pStyle w:val="NoSpacing"/>
        <w:rPr>
          <w:rFonts w:ascii="Arial" w:cs="Arial" w:hAnsi="Arial"/>
        </w:rPr>
      </w:pPr>
      <w:r>
        <w:rPr>
          <w:rFonts w:ascii="Arial" w:cs="Arial" w:hAnsi="Arial"/>
        </w:rPr>
        <w:t>Welshpool</w:t>
      </w:r>
    </w:p>
    <w:p w14:paraId="00000034">
      <w:pPr>
        <w:pStyle w:val="NoSpacing"/>
        <w:rPr>
          <w:rFonts w:ascii="Arial" w:cs="Arial" w:hAnsi="Arial"/>
        </w:rPr>
      </w:pPr>
      <w:r>
        <w:rPr>
          <w:rFonts w:ascii="Arial" w:cs="Arial" w:hAnsi="Arial"/>
        </w:rPr>
        <w:t xml:space="preserve">Powys </w:t>
      </w:r>
    </w:p>
    <w:p w14:paraId="00000035">
      <w:pPr>
        <w:pStyle w:val="NoSpacing"/>
        <w:rPr>
          <w:rFonts w:ascii="Arial" w:cs="Arial" w:hAnsi="Arial"/>
        </w:rPr>
      </w:pPr>
      <w:r>
        <w:rPr>
          <w:rFonts w:ascii="Arial" w:cs="Arial" w:hAnsi="Arial"/>
        </w:rPr>
        <w:t>SY21 8DF</w:t>
      </w:r>
    </w:p>
    <w:p w14:paraId="00000036">
      <w:pPr>
        <w:pStyle w:val="NoSpacing"/>
        <w:rPr>
          <w:rFonts w:ascii="Arial" w:cs="Arial" w:hAnsi="Arial"/>
        </w:rPr>
      </w:pPr>
      <w:r>
        <w:rPr>
          <w:rFonts w:ascii="Arial" w:cs="Arial" w:hAnsi="Arial"/>
        </w:rPr>
        <w:t xml:space="preserve"> </w:t>
      </w:r>
    </w:p>
    <w:p w14:paraId="00000037">
      <w:pPr>
        <w:rPr>
          <w:rFonts w:ascii="Arial" w:cs="Arial" w:hAnsi="Arial"/>
          <w:b/>
        </w:rPr>
      </w:pPr>
      <w:r>
        <w:rPr>
          <w:rFonts w:ascii="Arial" w:cs="Arial" w:hAnsi="Arial"/>
          <w:b/>
        </w:rPr>
        <w:t>T</w:t>
      </w:r>
      <w:r>
        <w:rPr>
          <w:rFonts w:ascii="Arial" w:cs="Arial" w:hAnsi="Arial"/>
          <w:b/>
        </w:rPr>
        <w:t xml:space="preserve">: </w:t>
      </w:r>
      <w:r>
        <w:rPr>
          <w:rFonts w:ascii="Arial" w:cs="Arial" w:hAnsi="Arial"/>
        </w:rPr>
        <w:t>07881773486</w:t>
      </w:r>
    </w:p>
    <w:p w14:paraId="00000038">
      <w:pPr>
        <w:rPr>
          <w:rFonts w:ascii="Arial" w:cs="Arial" w:hAnsi="Arial"/>
        </w:rPr>
      </w:pPr>
      <w:r>
        <w:rPr>
          <w:rFonts w:ascii="Arial" w:cs="Arial" w:hAnsi="Arial"/>
          <w:b/>
        </w:rPr>
        <w:t>E:</w:t>
      </w:r>
      <w:r>
        <w:rPr>
          <w:rFonts w:ascii="Arial" w:cs="Arial" w:hAnsi="Arial"/>
        </w:rPr>
        <w:t xml:space="preserve"> trewerncommunitycouncil@hotmail.com</w:t>
      </w:r>
      <w:r>
        <w:rPr>
          <w:rFonts w:ascii="Arial" w:cs="Arial" w:hAnsi="Arial"/>
        </w:rPr>
        <w:t xml:space="preserve"> </w:t>
      </w:r>
    </w:p>
    <w:p w14:paraId="00000039">
      <w:r>
        <w:t xml:space="preserve"> </w:t>
      </w:r>
    </w:p>
    <w:p w14:paraId="0000003A"/>
    <w:p w14:paraId="0000003B"/>
    <w:p w14:paraId="0000003C"/>
    <w:p w14:paraId="0000003D"/>
    <w:p w14:paraId="0000003E"/>
    <w:p w14:paraId="0000003F"/>
    <w:p w14:paraId="00000040"/>
    <w:p w14:paraId="00000041"/>
    <w:p w14:paraId="00000042"/>
    <w:p w14:paraId="00000043"/>
    <w:p w14:paraId="00000044"/>
    <w:p w14:paraId="00000045"/>
    <w:p w14:paraId="00000046"/>
    <w:p w14:paraId="00000047"/>
    <w:p w14:paraId="00000048"/>
    <w:p w14:paraId="00000049">
      <w:pPr>
        <w:rPr>
          <w:rFonts w:ascii="Arial" w:cs="Arial" w:hAnsi="Arial"/>
        </w:rPr>
      </w:pPr>
    </w:p>
    <w:p w14:paraId="0000004A">
      <w:pPr>
        <w:rPr>
          <w:rFonts w:ascii="Arial" w:cs="Arial" w:hAnsi="Arial"/>
        </w:rPr>
      </w:pPr>
    </w:p>
    <w:p w14:paraId="0000004B">
      <w:pPr>
        <w:rPr>
          <w:rFonts w:ascii="Arial" w:cs="Arial" w:hAnsi="Arial"/>
        </w:rPr>
      </w:pPr>
    </w:p>
    <w:p w14:paraId="0000004C">
      <w:pPr>
        <w:rPr>
          <w:rFonts w:ascii="Arial" w:cs="Arial" w:hAnsi="Arial"/>
        </w:rPr>
      </w:pPr>
    </w:p>
    <w:p w14:paraId="0000004D">
      <w:pPr>
        <w:rPr>
          <w:rFonts w:ascii="Arial" w:cs="Arial" w:hAnsi="Arial"/>
        </w:rPr>
      </w:pPr>
    </w:p>
    <w:p w14:paraId="0000004E">
      <w:pPr>
        <w:rPr>
          <w:rFonts w:ascii="Arial" w:cs="Arial" w:hAnsi="Arial"/>
        </w:rPr>
      </w:pPr>
    </w:p>
    <w:p w14:paraId="0000004F">
      <w:pPr>
        <w:rPr>
          <w:rFonts w:ascii="Arial" w:cs="Arial" w:hAnsi="Arial"/>
        </w:rPr>
      </w:pPr>
    </w:p>
    <w:p w14:paraId="00000050">
      <w:pPr>
        <w:rPr>
          <w:rFonts w:ascii="Arial" w:cs="Arial" w:hAnsi="Arial"/>
        </w:rPr>
      </w:pPr>
    </w:p>
    <w:p w14:paraId="00000051">
      <w:pPr>
        <w:rPr>
          <w:rFonts w:ascii="Arial" w:cs="Arial" w:hAnsi="Arial"/>
        </w:rPr>
      </w:pPr>
      <w:r>
        <w:rPr>
          <w:rFonts w:ascii="Arial" w:cs="Arial" w:hAnsi="Arial"/>
        </w:rPr>
        <w:t>Trewern</w:t>
      </w:r>
      <w:r>
        <w:rPr>
          <w:rFonts w:ascii="Arial" w:cs="Arial" w:hAnsi="Arial"/>
        </w:rPr>
        <w:t xml:space="preserve"> Community Council adopted/reviewed this </w:t>
      </w:r>
      <w:r>
        <w:rPr>
          <w:rFonts w:ascii="Arial" w:cs="Arial" w:hAnsi="Arial"/>
        </w:rPr>
        <w:t>Freedom of Information Act</w:t>
      </w:r>
      <w:bookmarkStart w:id="0" w:name="_GoBack"/>
      <w:bookmarkEnd w:id="0"/>
      <w:r>
        <w:rPr>
          <w:rFonts w:ascii="Arial" w:cs="Arial" w:hAnsi="Arial"/>
        </w:rPr>
        <w:t xml:space="preserve"> </w:t>
      </w:r>
      <w:r>
        <w:rPr>
          <w:rFonts w:ascii="Arial" w:cs="Arial" w:hAnsi="Arial"/>
        </w:rPr>
        <w:t xml:space="preserve">at its meeting on: </w:t>
      </w:r>
    </w:p>
    <w:p w14:paraId="00000052">
      <w:pPr>
        <w:rPr>
          <w:rFonts w:ascii="Arial" w:cs="Arial" w:hAnsi="Arial"/>
        </w:rPr>
      </w:pPr>
    </w:p>
    <w:p w14:paraId="00000053">
      <w:pPr>
        <w:rPr>
          <w:rFonts w:ascii="Arial" w:cs="Arial" w:hAnsi="Arial"/>
        </w:rPr>
      </w:pPr>
      <w:r>
        <w:rPr>
          <w:rFonts w:ascii="Arial" w:cs="Arial" w:hAnsi="Arial"/>
        </w:rPr>
        <w:t>……………………………………………………………………………………………………………</w:t>
      </w:r>
    </w:p>
    <w:p w14:paraId="00000054">
      <w:pPr>
        <w:rPr>
          <w:rFonts w:ascii="Arial" w:cs="Arial" w:hAnsi="Arial"/>
        </w:rPr>
      </w:pPr>
      <w:r>
        <w:rPr>
          <w:rFonts w:ascii="Arial" w:cs="Arial" w:hAnsi="Arial"/>
        </w:rPr>
        <w:t xml:space="preserve"> </w:t>
      </w:r>
    </w:p>
    <w:p w14:paraId="00000055">
      <w:pPr>
        <w:rPr>
          <w:rFonts w:ascii="Arial" w:cs="Arial" w:hAnsi="Arial"/>
        </w:rPr>
      </w:pPr>
      <w:r>
        <w:rPr>
          <w:rFonts w:ascii="Arial" w:cs="Arial" w:hAnsi="Arial"/>
        </w:rPr>
        <w:t xml:space="preserve">Signed:………………………………………………Date:…………………………………….…….. </w:t>
      </w:r>
    </w:p>
    <w:p w14:paraId="00000056">
      <w:pPr>
        <w:rPr>
          <w:rFonts w:ascii="Arial" w:cs="Arial" w:hAnsi="Arial"/>
        </w:rPr>
      </w:pPr>
    </w:p>
    <w:p w14:paraId="00000057">
      <w:pPr>
        <w:rPr>
          <w:rFonts w:ascii="Arial" w:cs="Arial" w:hAnsi="Arial"/>
        </w:rPr>
      </w:pPr>
      <w:r>
        <w:rPr>
          <w:rFonts w:ascii="Arial" w:cs="Arial" w:hAnsi="Arial"/>
        </w:rPr>
        <w:t>Print Name:……………………………………………………………………………………….…….</w:t>
      </w:r>
    </w:p>
    <w:p w14:paraId="00000058">
      <w:pPr>
        <w:rPr>
          <w:rFonts w:ascii="Arial" w:cs="Arial" w:hAnsi="Arial"/>
        </w:rPr>
      </w:pPr>
    </w:p>
    <w:p w14:paraId="00000059">
      <w:pPr>
        <w:rPr>
          <w:rFonts w:ascii="Arial" w:cs="Arial" w:hAnsi="Arial"/>
        </w:rPr>
      </w:pPr>
      <w:r>
        <w:rPr>
          <w:rFonts w:ascii="Arial" w:cs="Arial" w:hAnsi="Arial"/>
        </w:rPr>
        <w:t xml:space="preserve">Position:……………………………………………………..………………………………………….. </w:t>
      </w:r>
    </w:p>
    <w:p w14:paraId="0000005A">
      <w:pPr>
        <w:rPr>
          <w:rFonts w:ascii="Arial" w:cs="Arial" w:hAnsi="Arial"/>
        </w:rPr>
      </w:pPr>
      <w:r>
        <w:rPr>
          <w:rFonts w:ascii="Arial" w:cs="Arial" w:hAnsi="Arial"/>
        </w:rPr>
        <w:t xml:space="preserve"> </w:t>
      </w:r>
    </w:p>
    <w:p w14:paraId="0000005B">
      <w:pPr>
        <w:rPr>
          <w:rFonts w:ascii="Arial" w:cs="Arial" w:hAnsi="Arial"/>
        </w:rPr>
      </w:pPr>
      <w:r>
        <w:rPr>
          <w:rFonts w:ascii="Arial" w:cs="Arial" w:hAnsi="Arial"/>
        </w:rPr>
        <w:t xml:space="preserve">Version No:……………………………………………………………………………..……………… </w:t>
      </w:r>
    </w:p>
    <w:p w14:paraId="0000005C">
      <w:pPr>
        <w:rPr>
          <w:rFonts w:ascii="Arial" w:cs="Arial" w:hAnsi="Arial"/>
        </w:rPr>
      </w:pPr>
      <w:r>
        <w:rPr>
          <w:rFonts w:ascii="Arial" w:cs="Arial" w:hAnsi="Arial"/>
        </w:rPr>
        <w:t xml:space="preserve"> </w:t>
      </w:r>
    </w:p>
    <w:p w14:paraId="0000005D">
      <w:pPr>
        <w:rPr>
          <w:rFonts w:ascii="Arial" w:cs="Arial" w:hAnsi="Arial"/>
        </w:rPr>
      </w:pPr>
      <w:r>
        <w:rPr>
          <w:rFonts w:ascii="Arial" w:cs="Arial" w:hAnsi="Arial"/>
        </w:rPr>
        <w:t xml:space="preserve">Review Date = Annual </w:t>
      </w:r>
    </w:p>
    <w:tbl>
      <w:tblPr>
        <w:tblStyle w:val="TableGrid"/>
        <w:tblW w:w="0" w:type="auto"/>
        <w:tblLook w:val="04A0"/>
      </w:tblPr>
      <w:tblGrid>
        <w:gridCol w:w="2547"/>
        <w:gridCol w:w="1961"/>
        <w:gridCol w:w="2254"/>
        <w:gridCol w:w="2254"/>
      </w:tblGrid>
      <w:tr>
        <w:trPr/>
        <w:tc>
          <w:tcPr>
            <w:cnfStyle w:val="101000000000"/>
            <w:tcW w:w="2547" w:type="dxa"/>
          </w:tcPr>
          <w:p w14:paraId="0000005E">
            <w:pPr>
              <w:jc w:val="center"/>
              <w:rPr>
                <w:rFonts w:ascii="Arial" w:cs="Arial" w:hAnsi="Arial"/>
              </w:rPr>
            </w:pPr>
            <w:r>
              <w:rPr>
                <w:rFonts w:ascii="Arial" w:cs="Arial" w:hAnsi="Arial"/>
              </w:rPr>
              <w:t>Amended or Reviewed</w:t>
            </w:r>
          </w:p>
          <w:p w14:paraId="0000005F">
            <w:pPr>
              <w:jc w:val="center"/>
              <w:rPr>
                <w:rFonts w:ascii="Arial" w:cs="Arial" w:hAnsi="Arial"/>
              </w:rPr>
            </w:pPr>
          </w:p>
        </w:tc>
        <w:tc>
          <w:tcPr>
            <w:cnfStyle w:val="100000000000"/>
            <w:tcW w:w="1961" w:type="dxa"/>
          </w:tcPr>
          <w:p w14:paraId="00000060">
            <w:pPr>
              <w:jc w:val="center"/>
              <w:rPr>
                <w:rFonts w:ascii="Arial" w:cs="Arial" w:hAnsi="Arial"/>
              </w:rPr>
            </w:pPr>
            <w:r>
              <w:rPr>
                <w:rFonts w:ascii="Arial" w:cs="Arial" w:hAnsi="Arial"/>
              </w:rPr>
              <w:t>Date</w:t>
            </w:r>
          </w:p>
        </w:tc>
        <w:tc>
          <w:tcPr>
            <w:cnfStyle w:val="100000000000"/>
            <w:tcW w:w="2254" w:type="dxa"/>
          </w:tcPr>
          <w:p w14:paraId="00000061">
            <w:pPr>
              <w:jc w:val="center"/>
              <w:rPr>
                <w:rFonts w:ascii="Arial" w:cs="Arial" w:hAnsi="Arial"/>
              </w:rPr>
            </w:pPr>
            <w:r>
              <w:rPr>
                <w:rFonts w:ascii="Arial" w:cs="Arial" w:hAnsi="Arial"/>
              </w:rPr>
              <w:t>Version No</w:t>
            </w:r>
          </w:p>
        </w:tc>
        <w:tc>
          <w:tcPr>
            <w:cnfStyle w:val="100000000000"/>
            <w:tcW w:w="2254" w:type="dxa"/>
          </w:tcPr>
          <w:p w14:paraId="00000062">
            <w:pPr>
              <w:jc w:val="center"/>
              <w:rPr>
                <w:rFonts w:ascii="Arial" w:cs="Arial" w:hAnsi="Arial"/>
              </w:rPr>
            </w:pPr>
            <w:r>
              <w:rPr>
                <w:rFonts w:ascii="Arial" w:cs="Arial" w:hAnsi="Arial"/>
              </w:rPr>
              <w:t>Who</w:t>
            </w:r>
          </w:p>
        </w:tc>
      </w:tr>
      <w:tr>
        <w:trPr/>
        <w:tc>
          <w:tcPr>
            <w:cnfStyle w:val="001000100000"/>
            <w:tcW w:w="2547" w:type="dxa"/>
          </w:tcPr>
          <w:p w14:paraId="00000063">
            <w:pPr>
              <w:jc w:val="center"/>
              <w:rPr>
                <w:rFonts w:ascii="Arial" w:cs="Arial" w:hAnsi="Arial"/>
              </w:rPr>
            </w:pPr>
            <w:r>
              <w:rPr>
                <w:rFonts w:ascii="Arial" w:cs="Arial" w:hAnsi="Arial"/>
              </w:rPr>
              <w:t>Approved</w:t>
            </w:r>
          </w:p>
          <w:p w14:paraId="00000064">
            <w:pPr>
              <w:jc w:val="center"/>
              <w:rPr>
                <w:rFonts w:ascii="Arial" w:cs="Arial" w:hAnsi="Arial"/>
              </w:rPr>
            </w:pPr>
          </w:p>
        </w:tc>
        <w:tc>
          <w:tcPr>
            <w:cnfStyle w:val="000000100000"/>
            <w:tcW w:w="1961" w:type="dxa"/>
          </w:tcPr>
          <w:p w14:paraId="00000065">
            <w:pPr>
              <w:jc w:val="center"/>
              <w:rPr>
                <w:rFonts w:ascii="Arial" w:cs="Arial" w:hAnsi="Arial"/>
              </w:rPr>
            </w:pPr>
          </w:p>
        </w:tc>
        <w:tc>
          <w:tcPr>
            <w:cnfStyle w:val="000000100000"/>
            <w:tcW w:w="2254" w:type="dxa"/>
          </w:tcPr>
          <w:p w14:paraId="00000066">
            <w:pPr>
              <w:jc w:val="center"/>
              <w:rPr>
                <w:rFonts w:ascii="Arial" w:cs="Arial" w:hAnsi="Arial"/>
              </w:rPr>
            </w:pPr>
          </w:p>
        </w:tc>
        <w:tc>
          <w:tcPr>
            <w:cnfStyle w:val="000000100000"/>
            <w:tcW w:w="2254" w:type="dxa"/>
          </w:tcPr>
          <w:p w14:paraId="00000067">
            <w:pPr>
              <w:jc w:val="center"/>
              <w:rPr>
                <w:rFonts w:ascii="Arial" w:cs="Arial" w:hAnsi="Arial"/>
              </w:rPr>
            </w:pPr>
          </w:p>
        </w:tc>
      </w:tr>
      <w:tr>
        <w:trPr/>
        <w:tc>
          <w:tcPr>
            <w:cnfStyle w:val="001000010000"/>
            <w:tcW w:w="2547" w:type="dxa"/>
          </w:tcPr>
          <w:p w14:paraId="00000068">
            <w:pPr>
              <w:jc w:val="center"/>
              <w:rPr>
                <w:rFonts w:ascii="Arial" w:cs="Arial" w:hAnsi="Arial"/>
              </w:rPr>
            </w:pPr>
          </w:p>
          <w:p w14:paraId="00000069">
            <w:pPr>
              <w:jc w:val="center"/>
              <w:rPr>
                <w:rFonts w:ascii="Arial" w:cs="Arial" w:hAnsi="Arial"/>
              </w:rPr>
            </w:pPr>
          </w:p>
        </w:tc>
        <w:tc>
          <w:tcPr>
            <w:cnfStyle w:val="000000010000"/>
            <w:tcW w:w="1961" w:type="dxa"/>
          </w:tcPr>
          <w:p w14:paraId="0000006A">
            <w:pPr>
              <w:jc w:val="center"/>
              <w:rPr>
                <w:rFonts w:ascii="Arial" w:cs="Arial" w:hAnsi="Arial"/>
              </w:rPr>
            </w:pPr>
          </w:p>
        </w:tc>
        <w:tc>
          <w:tcPr>
            <w:cnfStyle w:val="000000010000"/>
            <w:tcW w:w="2254" w:type="dxa"/>
          </w:tcPr>
          <w:p w14:paraId="0000006B">
            <w:pPr>
              <w:jc w:val="center"/>
              <w:rPr>
                <w:rFonts w:ascii="Arial" w:cs="Arial" w:hAnsi="Arial"/>
              </w:rPr>
            </w:pPr>
          </w:p>
        </w:tc>
        <w:tc>
          <w:tcPr>
            <w:cnfStyle w:val="000000010000"/>
            <w:tcW w:w="2254" w:type="dxa"/>
          </w:tcPr>
          <w:p w14:paraId="0000006C">
            <w:pPr>
              <w:jc w:val="center"/>
              <w:rPr>
                <w:rFonts w:ascii="Arial" w:cs="Arial" w:hAnsi="Arial"/>
              </w:rPr>
            </w:pPr>
          </w:p>
        </w:tc>
      </w:tr>
      <w:tr>
        <w:trPr/>
        <w:tc>
          <w:tcPr>
            <w:cnfStyle w:val="001000100000"/>
            <w:tcW w:w="2547" w:type="dxa"/>
          </w:tcPr>
          <w:p w14:paraId="0000006D">
            <w:pPr>
              <w:jc w:val="center"/>
              <w:rPr>
                <w:rFonts w:ascii="Arial" w:cs="Arial" w:hAnsi="Arial"/>
              </w:rPr>
            </w:pPr>
          </w:p>
          <w:p w14:paraId="0000006E">
            <w:pPr>
              <w:jc w:val="center"/>
              <w:rPr>
                <w:rFonts w:ascii="Arial" w:cs="Arial" w:hAnsi="Arial"/>
              </w:rPr>
            </w:pPr>
          </w:p>
        </w:tc>
        <w:tc>
          <w:tcPr>
            <w:cnfStyle w:val="000000100000"/>
            <w:tcW w:w="1961" w:type="dxa"/>
          </w:tcPr>
          <w:p w14:paraId="0000006F">
            <w:pPr>
              <w:jc w:val="center"/>
              <w:rPr>
                <w:rFonts w:ascii="Arial" w:cs="Arial" w:hAnsi="Arial"/>
              </w:rPr>
            </w:pPr>
          </w:p>
        </w:tc>
        <w:tc>
          <w:tcPr>
            <w:cnfStyle w:val="000000100000"/>
            <w:tcW w:w="2254" w:type="dxa"/>
          </w:tcPr>
          <w:p w14:paraId="00000070">
            <w:pPr>
              <w:jc w:val="center"/>
              <w:rPr>
                <w:rFonts w:ascii="Arial" w:cs="Arial" w:hAnsi="Arial"/>
              </w:rPr>
            </w:pPr>
          </w:p>
        </w:tc>
        <w:tc>
          <w:tcPr>
            <w:cnfStyle w:val="000000100000"/>
            <w:tcW w:w="2254" w:type="dxa"/>
          </w:tcPr>
          <w:p w14:paraId="00000071">
            <w:pPr>
              <w:jc w:val="center"/>
              <w:rPr>
                <w:rFonts w:ascii="Arial" w:cs="Arial" w:hAnsi="Arial"/>
              </w:rPr>
            </w:pPr>
          </w:p>
        </w:tc>
      </w:tr>
      <w:tr>
        <w:trPr/>
        <w:tc>
          <w:tcPr>
            <w:cnfStyle w:val="001000010000"/>
            <w:tcW w:w="2547" w:type="dxa"/>
          </w:tcPr>
          <w:p w14:paraId="00000072">
            <w:pPr>
              <w:jc w:val="center"/>
              <w:rPr>
                <w:rFonts w:ascii="Arial" w:cs="Arial" w:hAnsi="Arial"/>
              </w:rPr>
            </w:pPr>
          </w:p>
          <w:p w14:paraId="00000073">
            <w:pPr>
              <w:jc w:val="center"/>
              <w:rPr>
                <w:rFonts w:ascii="Arial" w:cs="Arial" w:hAnsi="Arial"/>
              </w:rPr>
            </w:pPr>
          </w:p>
        </w:tc>
        <w:tc>
          <w:tcPr>
            <w:cnfStyle w:val="000000010000"/>
            <w:tcW w:w="1961" w:type="dxa"/>
          </w:tcPr>
          <w:p w14:paraId="00000074">
            <w:pPr>
              <w:jc w:val="center"/>
              <w:rPr>
                <w:rFonts w:ascii="Arial" w:cs="Arial" w:hAnsi="Arial"/>
              </w:rPr>
            </w:pPr>
          </w:p>
        </w:tc>
        <w:tc>
          <w:tcPr>
            <w:cnfStyle w:val="000000010000"/>
            <w:tcW w:w="2254" w:type="dxa"/>
          </w:tcPr>
          <w:p w14:paraId="00000075">
            <w:pPr>
              <w:jc w:val="center"/>
              <w:rPr>
                <w:rFonts w:ascii="Arial" w:cs="Arial" w:hAnsi="Arial"/>
              </w:rPr>
            </w:pPr>
          </w:p>
        </w:tc>
        <w:tc>
          <w:tcPr>
            <w:cnfStyle w:val="000000010000"/>
            <w:tcW w:w="2254" w:type="dxa"/>
          </w:tcPr>
          <w:p w14:paraId="00000076">
            <w:pPr>
              <w:jc w:val="center"/>
              <w:rPr>
                <w:rFonts w:ascii="Arial" w:cs="Arial" w:hAnsi="Arial"/>
              </w:rPr>
            </w:pPr>
          </w:p>
        </w:tc>
      </w:tr>
      <w:tr>
        <w:trPr/>
        <w:tc>
          <w:tcPr>
            <w:cnfStyle w:val="001000100000"/>
            <w:tcW w:w="2547" w:type="dxa"/>
          </w:tcPr>
          <w:p w14:paraId="00000077">
            <w:pPr>
              <w:jc w:val="center"/>
              <w:rPr>
                <w:rFonts w:ascii="Arial" w:cs="Arial" w:hAnsi="Arial"/>
              </w:rPr>
            </w:pPr>
          </w:p>
          <w:p w14:paraId="00000078">
            <w:pPr>
              <w:jc w:val="center"/>
              <w:rPr>
                <w:rFonts w:ascii="Arial" w:cs="Arial" w:hAnsi="Arial"/>
              </w:rPr>
            </w:pPr>
          </w:p>
        </w:tc>
        <w:tc>
          <w:tcPr>
            <w:cnfStyle w:val="000000100000"/>
            <w:tcW w:w="1961" w:type="dxa"/>
          </w:tcPr>
          <w:p w14:paraId="00000079">
            <w:pPr>
              <w:jc w:val="center"/>
              <w:rPr>
                <w:rFonts w:ascii="Arial" w:cs="Arial" w:hAnsi="Arial"/>
              </w:rPr>
            </w:pPr>
          </w:p>
        </w:tc>
        <w:tc>
          <w:tcPr>
            <w:cnfStyle w:val="000000100000"/>
            <w:tcW w:w="2254" w:type="dxa"/>
          </w:tcPr>
          <w:p w14:paraId="0000007A">
            <w:pPr>
              <w:jc w:val="center"/>
              <w:rPr>
                <w:rFonts w:ascii="Arial" w:cs="Arial" w:hAnsi="Arial"/>
              </w:rPr>
            </w:pPr>
          </w:p>
        </w:tc>
        <w:tc>
          <w:tcPr>
            <w:cnfStyle w:val="000000100000"/>
            <w:tcW w:w="2254" w:type="dxa"/>
          </w:tcPr>
          <w:p w14:paraId="0000007B">
            <w:pPr>
              <w:jc w:val="center"/>
              <w:rPr>
                <w:rFonts w:ascii="Arial" w:cs="Arial" w:hAnsi="Arial"/>
              </w:rPr>
            </w:pPr>
          </w:p>
        </w:tc>
      </w:tr>
    </w:tbl>
    <w:p w14:paraId="0000007C">
      <w:pPr>
        <w:rPr>
          <w:rFonts w:ascii="Arial" w:cs="Arial" w:hAnsi="Arial"/>
        </w:rPr>
      </w:pPr>
    </w:p>
    <w:p w14:paraId="0000007D"/>
    <w:sectPr>
      <w:footerReference w:type="default" r:id="rId15"/>
      <w:pgSz w:w="11906" w:h="16838"/>
      <w:pgMar w:top="1440" w:right="1440" w:bottom="1440" w:left="1440" w:header="708" w:footer="708" w:gutter="0"/>
      <w:cols w:space="708"/>
    </w:sectPr>
  </w:body>
</w:document>
</file>

<file path=word/commentsEx.xml><?xml version="1.0" encoding="utf-8"?>
<w15:commentsEx xmlns:w15="http://schemas.microsoft.com/office/word/2012/wordml">
  <w15:commentEx w15:paraId="000001AA"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endnote w:type="separator" w:id="0">
    <w:p w14:paraId="00000003">
      <w:pPr>
        <w:spacing w:after="0" w:line="240" w:lineRule="auto"/>
        <w:rPr/>
      </w:pPr>
      <w:r>
        <w:rPr/>
        <w:separator/>
      </w:r>
    </w:p>
  </w:endnote>
  <w:endnote w:type="continuationSeparator" w:id="1">
    <w:p w14:paraId="00000004">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00000000" w:csb1="00000000"/>
  </w:font>
  <w:font w:name="Times New Roman">
    <w:panose1 w:val="02020603050405020304"/>
    <w:charset w:val="00"/>
    <w:family w:val="roman"/>
    <w:pitch w:val="variable"/>
    <w:sig w:usb0="00000000" w:usb1="00000000" w:usb2="00000009" w:usb3="00000000" w:csb0="000001ff" w:csb1="00000000"/>
  </w:font>
  <w:font w:name="Courier New">
    <w:panose1 w:val="02070309020205020404"/>
    <w:charset w:val="00"/>
    <w:family w:val="modern"/>
    <w:pitch w:val="fixed"/>
    <w:sig w:usb0="00000000" w:usb1="00000000" w:usb2="00000009" w:usb3="00000000" w:csb0="000001ff" w:csb1="00000000"/>
  </w:font>
  <w:font w:name="Wingdings">
    <w:panose1 w:val="05000000000000000000"/>
    <w:charset w:val="02"/>
    <w:family w:val="auto"/>
    <w:pitch w:val="variable"/>
    <w:sig w:usb0="00000000" w:usb1="10000000" w:usb2="00000000" w:usb3="00000000" w:csb0="00000000" w:csb1="00000000"/>
  </w:font>
  <w:font w:name="Calibri">
    <w:panose1 w:val="020f0502020204030204"/>
    <w:charset w:val="00"/>
    <w:family w:val="swiss"/>
    <w:pitch w:val="variable"/>
    <w:sig w:usb0="00000000" w:usb1="00000000" w:usb2="00000009" w:usb3="00000000" w:csb0="000001ff" w:csb1="00000000"/>
  </w:font>
  <w:font w:name="Arial">
    <w:panose1 w:val="020b0604020202020204"/>
    <w:charset w:val="00"/>
    <w:family w:val="swiss"/>
    <w:pitch w:val="variable"/>
    <w:sig w:usb0="00000000" w:usb1="00000000" w:usb2="00000009" w:usb3="00000000" w:csb0="000001ff" w:csb1="00000000"/>
  </w:font>
  <w:font w:name="Calibri Light">
    <w:panose1 w:val="020f0302020204030204"/>
    <w:charset w:val="00"/>
    <w:family w:val="swiss"/>
    <w:pitch w:val="variable"/>
    <w:sig w:usb0="00000000" w:usb1="00000000" w:usb2="00000009" w:usb3="00000000" w:csb0="000001ff" w:csb1="00000000"/>
  </w:font>
  <w:font w:name="Cambria">
    <w:panose1 w:val="02040503050406030204"/>
    <w:charset w:val="00"/>
    <w:family w:val="roman"/>
    <w:pitch w:val="variable"/>
    <w:sig w:usb0="00000000" w:usb1="4000004b" w:usb2="00000000" w:usb3="00000000" w:csb0="0000009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Helvetica Neue">
    <w:charset w:val="00"/>
    <w:family w:val="swiss"/>
    <w:pitch w:val="variable"/>
  </w:font>
  <w:font w:name="Segoe UI">
    <w:charset w:val="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07E">
    <w:pPr>
      <w:pStyle w:val="Footer"/>
      <w:jc w:val="right"/>
      <w:rPr/>
    </w:pPr>
    <w:r>
      <w:t xml:space="preserve">Page </w:t>
    </w:r>
    <w:r>
      <w:rPr>
        <w:b/>
        <w:bCs/>
      </w:rPr>
      <w:fldChar w:fldCharType="begin"/>
    </w:r>
    <w:r>
      <w:rPr>
        <w:b/>
        <w:bCs/>
      </w:rPr>
      <w:instrText xml:space="preserve"> PAGE </w:instrText>
    </w:r>
    <w:r>
      <w:rPr>
        <w:b/>
        <w:bCs/>
      </w:rPr>
      <w:fldChar w:fldCharType="separate"/>
    </w:r>
    <w:r>
      <w:rPr>
        <w:b/>
        <w:bCs/>
      </w:rPr>
      <w:t>2</w:t>
    </w:r>
    <w:r>
      <w:fldChar w:fldCharType="end"/>
    </w:r>
    <w:r>
      <w:t xml:space="preserve"> of </w:t>
    </w:r>
    <w:r>
      <w:rPr>
        <w:b/>
        <w:bCs/>
      </w:rPr>
      <w:fldChar w:fldCharType="begin"/>
    </w:r>
    <w:r>
      <w:rPr>
        <w:b/>
        <w:bCs/>
      </w:rPr>
      <w:instrText xml:space="preserve"> NUMPAGES  </w:instrText>
    </w:r>
    <w:r>
      <w:rPr>
        <w:b/>
        <w:bCs/>
      </w:rPr>
      <w:fldChar w:fldCharType="separate"/>
    </w:r>
    <w:r>
      <w:rPr>
        <w:b/>
        <w:bCs/>
      </w:rPr>
      <w:t>2</w:t>
    </w:r>
    <w:r>
      <w:fldChar w:fldCharType="end"/>
    </w:r>
  </w:p>
  <w:p w14:paraId="0000007F">
    <w:pPr>
      <w:pStyle w:val="Foot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footnote w:type="separator" w:id="0">
    <w:p w14:paraId="00000001">
      <w:pPr>
        <w:spacing w:after="0" w:line="240" w:lineRule="auto"/>
        <w:rPr/>
      </w:pPr>
      <w:r>
        <w:rPr/>
        <w:separator/>
      </w:r>
    </w:p>
  </w:footnote>
  <w:footnote w:type="continuationSeparator" w:id="1">
    <w:p w14:paraId="00000002">
      <w:pPr>
        <w:spacing w:after="0" w:line="240" w:lineRule="auto"/>
        <w:rPr/>
      </w:pPr>
      <w:r>
        <w:rPr/>
        <w:continuationSeparato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
    <w:multiLevelType w:val="hybridMultilevel"/>
    <w:lvl w:ilvl="0" w:tentative="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A04"/>
    <w:rsid w:val="002A0A04"/>
    <w:rsid w:val="004F5807"/>
    <w:rsid w:val="005A7918"/>
    <w:rsid w:val="00617E0D"/>
    <w:rsid w:val="00627461"/>
    <w:rsid w:val="0066431B"/>
    <w:rsid w:val="006846B1"/>
    <w:rsid w:val="00776BF9"/>
    <w:rsid w:val="009048D6"/>
    <w:rsid w:val="00A56B9C"/>
    <w:rsid w:val="00B0376D"/>
    <w:rsid w:val="00B47239"/>
    <w:rsid w:val="00CA3FC0"/>
    <w:rsid w:val="00CE10A4"/>
    <w:rsid w:val="00D55ED8"/>
    <w:rsid w:val="00D841DE"/>
    <w:rsid w:val="00FB55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B88CE"/>
  <w15:chartTrackingRefBased/>
  <w15:docId w15:val="{CC48F1BB-8A25-4B14-878F-B97BF42EA751}"/>
  <w:footnotePr>
    <w:footnote w:id="0"/>
    <w:footnote w:id="1"/>
  </w:footnotePr>
  <w:endnotePr>
    <w:endnote w:id="0"/>
    <w:endnote w:id="1"/>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en-GB" w:bidi="ar-SA" w:eastAsia="en-US"/>
      </w:rPr>
    </w:rPrDefault>
    <w:pPrDefault>
      <w:pPr>
        <w:spacing w:after="160" w:line="259"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 w:type="paragraph" w:default="1" w:styleId="Normal">
    <w:name w:val="Normal"/>
    <w:uiPriority w:val="99"/>
    <w:qFormat w:val="on"/>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table" w:styleId="TableGrid">
    <w:name w:val="Table Grid"/>
    <w:basedOn w:val="NormalTable"/>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val="on"/>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val="on"/>
    <w:pPr>
      <w:ind w:left="720"/>
      <w:contextualSpacing w:val="on"/>
    </w:pPr>
  </w:style>
  <w:style w:type="paragraph" w:styleId="NoSpacing">
    <w:name w:val="No Spacing"/>
    <w:uiPriority w:val="1"/>
    <w:qFormat w:val="o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15" Type="http://schemas.openxmlformats.org/officeDocument/2006/relationships/footer" Target="footer1.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otnotes" Target="footnotes.xml"/><Relationship Id="rId6"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4" Type="http://schemas.openxmlformats.org/officeDocument/2006/relationships/webSettings" Target="webSettings.xml"/><Relationship Id="rId12" Type="http://schemas.microsoft.com/office/2011/relationships/commentsExtended" Target="commentsEx.xm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1478</TotalTime>
  <Pages>6</Pages>
  <Words>1323</Words>
  <Characters>7546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Clark</dc:creator>
  <cp:lastModifiedBy>Angela Evans</cp:lastModifiedBy>
</cp:coreProperties>
</file>