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comments.xml" ContentType="application/vnd.openxmlformats-officedocument.wordprocessingml.comments+xml"/>
  <Override PartName="/docProps/core.xml" ContentType="application/vnd.openxmlformats-package.core-properties+xml"/>
  <Override PartName="/docProps/app.xml" ContentType="application/vnd.openxmlformats-officedocument.extended-properties+xml"/>
  <Override PartName="/word/commentsEx.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body>
    <w:p w14:paraId="00000005">
      <w:pPr>
        <w:spacing w:line="360" w:lineRule="auto"/>
        <w:jc w:val="center"/>
        <w:rPr>
          <w:rFonts w:ascii="Arial" w:cs="Arial" w:hAnsi="Arial"/>
          <w:b/>
          <w:sz w:val="24"/>
          <w:szCs w:val="24"/>
        </w:rPr>
      </w:pPr>
      <w:r>
        <w:rPr>
          <w:rFonts w:ascii="Arial" w:cs="Arial" w:hAnsi="Arial"/>
          <w:b/>
          <w:sz w:val="24"/>
          <w:szCs w:val="24"/>
        </w:rPr>
        <w:t>TREWERN</w:t>
      </w:r>
      <w:r>
        <w:rPr>
          <w:rFonts w:ascii="Arial" w:cs="Arial" w:hAnsi="Arial"/>
          <w:b/>
          <w:sz w:val="24"/>
          <w:szCs w:val="24"/>
        </w:rPr>
        <w:t xml:space="preserve"> COMMUNITY COUNCIL / CYNGOR CYMUNED </w:t>
      </w:r>
      <w:r>
        <w:rPr>
          <w:rFonts w:ascii="Arial" w:cs="Arial" w:hAnsi="Arial"/>
          <w:b/>
          <w:sz w:val="24"/>
          <w:szCs w:val="24"/>
        </w:rPr>
        <w:t>TREWERN</w:t>
      </w:r>
    </w:p>
    <w:p w14:paraId="00000006">
      <w:pPr>
        <w:spacing w:line="360" w:lineRule="auto"/>
        <w:jc w:val="center"/>
        <w:rPr>
          <w:rFonts w:ascii="Arial" w:cs="Arial" w:hAnsi="Arial"/>
          <w:b/>
        </w:rPr>
      </w:pPr>
      <w:r>
        <w:rPr>
          <w:rFonts w:ascii="Arial" w:cs="Arial" w:hAnsi="Arial"/>
          <w:b/>
        </w:rPr>
        <w:t>RISK MANAGEMENT</w:t>
      </w:r>
    </w:p>
    <w:p w14:paraId="00000007">
      <w:pPr>
        <w:pStyle w:val="NoSpacing"/>
        <w:spacing w:line="276" w:lineRule="auto"/>
        <w:rPr>
          <w:rFonts w:ascii="Arial" w:cs="Arial" w:hAnsi="Arial"/>
          <w:b/>
        </w:rPr>
      </w:pPr>
      <w:r>
        <w:rPr>
          <w:rFonts w:ascii="Arial" w:cs="Arial" w:hAnsi="Arial"/>
          <w:b/>
        </w:rPr>
        <w:t xml:space="preserve">Definition of Risk Management  </w:t>
      </w:r>
    </w:p>
    <w:p w14:paraId="00000008">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rPr>
      </w:pPr>
      <w:r>
        <w:rPr>
          <w:rFonts w:ascii="Arial" w:cs="Arial" w:hAnsi="Arial"/>
          <w:color w:val="000000"/>
          <w:sz w:val="22"/>
          <w:szCs w:val="22"/>
          <w:rtl w:val="off"/>
          <w:lang w:val="en-US"/>
        </w:rPr>
        <w:t xml:space="preserve">Risk is the potential for an event or action to adversely affect an organisation’s ability to achieve its objectives and execute its strategies successfully. </w:t>
      </w:r>
      <w:r>
        <w:rPr>
          <w:rFonts w:ascii="Arial" w:cs="Arial" w:hAnsi="Arial"/>
          <w:sz w:val="22"/>
          <w:szCs w:val="22"/>
        </w:rPr>
        <w:t xml:space="preserve">Risk management is the process by which risks are identified, evaluated and controlled. It is a key element of the framework of governance together with community focus, structures and processes, standards of conduct and service delivery arrangements. </w:t>
      </w:r>
      <w:r>
        <w:rPr>
          <w:rFonts w:ascii="Arial" w:cs="Arial" w:hAnsi="Arial"/>
        </w:rPr>
        <w:t xml:space="preserve"> </w:t>
      </w:r>
    </w:p>
    <w:p w14:paraId="00000009">
      <w:pPr>
        <w:rPr>
          <w:rFonts w:ascii="Arial" w:cs="Arial" w:hAnsi="Arial"/>
        </w:rPr>
      </w:pPr>
      <w:r>
        <w:rPr>
          <w:rFonts w:ascii="Arial" w:cs="Arial" w:hAnsi="Arial"/>
        </w:rPr>
        <w:t xml:space="preserve"> </w:t>
      </w:r>
    </w:p>
    <w:p w14:paraId="0000000A">
      <w:pPr>
        <w:pStyle w:val="NoSpacing"/>
        <w:spacing w:line="276" w:lineRule="auto"/>
        <w:rPr>
          <w:rFonts w:ascii="Arial" w:cs="Arial" w:hAnsi="Arial"/>
          <w:b/>
        </w:rPr>
      </w:pPr>
      <w:r>
        <w:rPr>
          <w:rFonts w:ascii="Arial" w:cs="Arial" w:hAnsi="Arial"/>
          <w:b/>
        </w:rPr>
        <w:t xml:space="preserve">Audit Commission – </w:t>
      </w:r>
      <w:r>
        <w:rPr>
          <w:rFonts w:ascii="Arial" w:cs="Arial" w:hAnsi="Arial"/>
          <w:b/>
          <w:i/>
          <w:iCs/>
        </w:rPr>
        <w:t>Worth the Risk: Improving Risk Management in Local Government</w:t>
      </w:r>
      <w:r>
        <w:rPr>
          <w:rFonts w:ascii="Arial" w:cs="Arial" w:hAnsi="Arial"/>
          <w:b/>
        </w:rPr>
        <w:t xml:space="preserve"> (2001:5) </w:t>
      </w:r>
    </w:p>
    <w:p w14:paraId="0000000B">
      <w:pPr>
        <w:pStyle w:val="NoSpacing"/>
        <w:spacing w:line="276" w:lineRule="auto"/>
        <w:rPr>
          <w:rFonts w:ascii="Arial" w:cs="Arial" w:hAnsi="Arial"/>
        </w:rPr>
      </w:pPr>
      <w:r>
        <w:rPr>
          <w:rFonts w:ascii="Arial" w:cs="Arial" w:hAnsi="Arial"/>
        </w:rPr>
        <w:t>This document has been produced to enable the Council to assess the risks that it faces and satisfy itself that it has taken adequate steps to minimise them.</w:t>
      </w:r>
      <w:r>
        <w:rPr>
          <w:rFonts w:ascii="Arial" w:cs="Arial" w:hAnsi="Arial"/>
        </w:rPr>
        <w:t xml:space="preserve"> </w:t>
      </w:r>
      <w:r>
        <w:rPr>
          <w:rFonts w:ascii="Arial" w:cs="Arial" w:hAnsi="Arial"/>
        </w:rPr>
        <w:t>The Council is aware that although some risks can never be eliminated fully, it has in place a strategy that provides a structured, systematic and focuses approach to managing risk. The list is not exhaustive and the Council may wish to consider other risks not identified.</w:t>
      </w:r>
      <w:r>
        <w:rPr>
          <w:rFonts w:ascii="Arial" w:cs="Arial" w:hAnsi="Arial"/>
        </w:rPr>
        <w:t xml:space="preserve"> </w:t>
      </w:r>
      <w:r>
        <w:rPr>
          <w:rFonts w:ascii="Arial" w:cs="Arial" w:hAnsi="Arial"/>
        </w:rPr>
        <w:t xml:space="preserve">The table below:   </w:t>
      </w:r>
    </w:p>
    <w:p w14:paraId="0000000C">
      <w:pPr>
        <w:pStyle w:val="ListParagraph"/>
        <w:numPr>
          <w:ilvl w:val="0"/>
          <w:numId w:val="28"/>
        </w:numPr>
        <w:spacing w:line="276" w:lineRule="auto"/>
        <w:rPr>
          <w:rFonts w:ascii="Arial" w:cs="Arial" w:hAnsi="Arial"/>
        </w:rPr>
      </w:pPr>
      <w:r>
        <w:rPr>
          <w:rFonts w:ascii="Arial" w:cs="Arial" w:hAnsi="Arial"/>
        </w:rPr>
        <w:t xml:space="preserve">Identifies the subject  </w:t>
      </w:r>
    </w:p>
    <w:p w14:paraId="0000000D">
      <w:pPr>
        <w:pStyle w:val="ListParagraph"/>
        <w:numPr>
          <w:ilvl w:val="0"/>
          <w:numId w:val="28"/>
        </w:numPr>
        <w:spacing w:line="276" w:lineRule="auto"/>
        <w:rPr>
          <w:rFonts w:ascii="Arial" w:cs="Arial" w:hAnsi="Arial"/>
        </w:rPr>
      </w:pPr>
      <w:r>
        <w:rPr>
          <w:rFonts w:ascii="Arial" w:cs="Arial" w:hAnsi="Arial"/>
        </w:rPr>
        <w:t xml:space="preserve">Identifies what the risk may be  </w:t>
      </w:r>
    </w:p>
    <w:p w14:paraId="0000000E">
      <w:pPr>
        <w:pStyle w:val="ListParagraph"/>
        <w:numPr>
          <w:ilvl w:val="0"/>
          <w:numId w:val="28"/>
        </w:numPr>
        <w:spacing w:line="276" w:lineRule="auto"/>
        <w:rPr>
          <w:rFonts w:ascii="Arial" w:cs="Arial" w:hAnsi="Arial"/>
        </w:rPr>
      </w:pPr>
      <w:r>
        <w:rPr>
          <w:rFonts w:ascii="Arial" w:cs="Arial" w:hAnsi="Arial"/>
        </w:rPr>
        <w:t xml:space="preserve">Identifies the level of risk, giving the likelihood that the issue could occur and the potential level of harm if it did  </w:t>
      </w:r>
    </w:p>
    <w:p w14:paraId="0000000F">
      <w:pPr>
        <w:pStyle w:val="ListParagraph"/>
        <w:numPr>
          <w:ilvl w:val="0"/>
          <w:numId w:val="28"/>
        </w:numPr>
        <w:spacing w:line="276" w:lineRule="auto"/>
        <w:rPr>
          <w:rFonts w:ascii="Arial" w:cs="Arial" w:hAnsi="Arial"/>
        </w:rPr>
      </w:pPr>
      <w:r>
        <w:rPr>
          <w:rFonts w:ascii="Arial" w:cs="Arial" w:hAnsi="Arial"/>
        </w:rPr>
        <w:t xml:space="preserve">Evaluates the management and control of the risk and records findings  </w:t>
      </w:r>
    </w:p>
    <w:p w14:paraId="00000010">
      <w:pPr>
        <w:pStyle w:val="ListParagraph"/>
        <w:numPr>
          <w:ilvl w:val="0"/>
          <w:numId w:val="28"/>
        </w:numPr>
        <w:rPr>
          <w:rFonts w:ascii="Arial" w:cs="Arial" w:hAnsi="Arial"/>
        </w:rPr>
      </w:pPr>
      <w:r>
        <w:rPr>
          <w:rFonts w:ascii="Arial" w:cs="Arial" w:hAnsi="Arial"/>
        </w:rPr>
        <w:t>Reviews, assesses and revises procedures if required</w:t>
      </w:r>
    </w:p>
    <w:p w14:paraId="00000011">
      <w:pPr>
        <w:spacing w:line="240" w:lineRule="auto"/>
        <w:rPr>
          <w:rFonts w:ascii="Arial" w:cs="Arial" w:hAnsi="Arial"/>
          <w:sz w:val="16"/>
          <w:szCs w:val="16"/>
        </w:rPr>
      </w:pPr>
      <w:r>
        <w:rPr>
          <w:rFonts w:ascii="Arial" w:cs="Arial" w:hAnsi="Arial"/>
          <w:sz w:val="16"/>
          <w:szCs w:val="16"/>
        </w:rPr>
        <w:t xml:space="preserve">  </w:t>
      </w:r>
    </w:p>
    <w:tbl>
      <w:tblPr>
        <w:tblStyle w:val="TableGrid"/>
        <w:tblW w:w="9493" w:type="dxa"/>
        <w:tblLayout w:type="fixed"/>
        <w:tblLook w:val="04A0"/>
      </w:tblPr>
      <w:tblGrid>
        <w:gridCol w:w="3823"/>
        <w:gridCol w:w="992"/>
        <w:gridCol w:w="4678"/>
      </w:tblGrid>
      <w:tr>
        <w:trPr>
          <w:trHeight w:val="729"/>
        </w:trPr>
        <w:tc>
          <w:tcPr>
            <w:cnfStyle w:val="101000000000"/>
            <w:tcW w:w="3823" w:type="dxa"/>
          </w:tcPr>
          <w:p w14:paraId="00000012">
            <w:pPr>
              <w:jc w:val="center"/>
              <w:rPr>
                <w:rFonts w:ascii="Arial" w:cs="Arial" w:hAnsi="Arial"/>
                <w:b/>
              </w:rPr>
            </w:pPr>
            <w:r>
              <w:rPr>
                <w:rFonts w:ascii="Arial" w:cs="Arial" w:hAnsi="Arial"/>
                <w:b/>
              </w:rPr>
              <w:t>Topic</w:t>
            </w:r>
          </w:p>
        </w:tc>
        <w:tc>
          <w:tcPr>
            <w:cnfStyle w:val="100000000000"/>
            <w:tcW w:w="992" w:type="dxa"/>
          </w:tcPr>
          <w:p w14:paraId="00000013">
            <w:pPr>
              <w:jc w:val="center"/>
              <w:rPr>
                <w:rFonts w:ascii="Arial" w:cs="Arial" w:hAnsi="Arial"/>
                <w:b/>
              </w:rPr>
            </w:pPr>
            <w:r>
              <w:rPr>
                <w:rFonts w:ascii="Arial" w:cs="Arial" w:hAnsi="Arial"/>
                <w:b/>
              </w:rPr>
              <w:t>Type of Risk</w:t>
            </w:r>
          </w:p>
        </w:tc>
        <w:tc>
          <w:tcPr>
            <w:cnfStyle w:val="100000000000"/>
            <w:tcW w:w="4678" w:type="dxa"/>
          </w:tcPr>
          <w:p w14:paraId="00000014">
            <w:pPr>
              <w:jc w:val="center"/>
              <w:rPr>
                <w:rFonts w:ascii="Arial" w:cs="Arial" w:hAnsi="Arial"/>
                <w:b/>
              </w:rPr>
            </w:pPr>
            <w:r>
              <w:rPr>
                <w:rFonts w:ascii="Arial" w:cs="Arial" w:hAnsi="Arial"/>
                <w:b/>
              </w:rPr>
              <w:t>Internal Control</w:t>
            </w:r>
          </w:p>
        </w:tc>
      </w:tr>
      <w:tr>
        <w:trPr/>
        <w:tc>
          <w:tcPr>
            <w:cnfStyle w:val="001000100000"/>
            <w:tcW w:w="3823" w:type="dxa"/>
          </w:tcPr>
          <w:p w14:paraId="00000015">
            <w:pPr>
              <w:rPr>
                <w:rFonts w:ascii="Arial" w:cs="Arial" w:hAnsi="Arial"/>
                <w:b/>
                <w:sz w:val="20"/>
                <w:szCs w:val="20"/>
              </w:rPr>
            </w:pPr>
            <w:r>
              <w:rPr>
                <w:rFonts w:ascii="Arial" w:cs="Arial" w:hAnsi="Arial"/>
                <w:b/>
                <w:sz w:val="20"/>
                <w:szCs w:val="20"/>
              </w:rPr>
              <w:t>Protection of physical assets owned by the Council</w:t>
            </w:r>
          </w:p>
        </w:tc>
        <w:tc>
          <w:tcPr>
            <w:cnfStyle w:val="000000100000"/>
            <w:tcW w:w="992" w:type="dxa"/>
          </w:tcPr>
          <w:p w14:paraId="00000016">
            <w:pPr>
              <w:pStyle w:val="ListParagraph"/>
              <w:ind w:left="360"/>
              <w:rPr>
                <w:rFonts w:ascii="Arial" w:cs="Arial" w:hAnsi="Arial"/>
                <w:sz w:val="20"/>
                <w:szCs w:val="20"/>
              </w:rPr>
            </w:pPr>
            <w:r>
              <w:rPr>
                <w:rFonts w:ascii="Arial" w:cs="Arial" w:hAnsi="Arial"/>
                <w:sz w:val="20"/>
                <w:szCs w:val="20"/>
              </w:rPr>
              <w:t>L</w:t>
            </w:r>
          </w:p>
        </w:tc>
        <w:tc>
          <w:tcPr>
            <w:cnfStyle w:val="000000100000"/>
            <w:tcW w:w="4678" w:type="dxa"/>
          </w:tcPr>
          <w:p w14:paraId="00000017">
            <w:pPr>
              <w:pStyle w:val="ListParagraph"/>
              <w:numPr>
                <w:ilvl w:val="0"/>
                <w:numId w:val="16"/>
              </w:numPr>
              <w:rPr>
                <w:rFonts w:ascii="Arial" w:cs="Arial" w:hAnsi="Arial"/>
                <w:sz w:val="20"/>
                <w:szCs w:val="20"/>
              </w:rPr>
            </w:pPr>
            <w:r>
              <w:rPr>
                <w:rFonts w:ascii="Arial" w:cs="Arial" w:hAnsi="Arial"/>
                <w:sz w:val="20"/>
                <w:szCs w:val="20"/>
              </w:rPr>
              <w:t>YLL-2720448083 Zurich Insurance Plc</w:t>
            </w:r>
          </w:p>
          <w:p w14:paraId="00000018">
            <w:pPr>
              <w:pStyle w:val="ListParagraph"/>
              <w:rPr>
                <w:rFonts w:ascii="Arial" w:cs="Arial" w:hAnsi="Arial"/>
                <w:sz w:val="20"/>
                <w:szCs w:val="20"/>
              </w:rPr>
            </w:pPr>
            <w:r>
              <w:rPr>
                <w:rFonts w:ascii="Arial" w:cs="Arial" w:hAnsi="Arial"/>
                <w:sz w:val="20"/>
                <w:szCs w:val="20"/>
              </w:rPr>
              <w:t xml:space="preserve">Bus shelter    </w:t>
            </w:r>
            <w:r>
              <w:rPr>
                <w:rFonts w:ascii="Arial" w:cs="Arial" w:hAnsi="Arial"/>
                <w:sz w:val="20"/>
                <w:szCs w:val="20"/>
              </w:rPr>
              <w:t xml:space="preserve">                      £</w:t>
            </w:r>
            <w:r>
              <w:rPr>
                <w:rFonts w:ascii="Arial" w:cs="Arial" w:hAnsi="Arial"/>
                <w:sz w:val="20"/>
                <w:szCs w:val="20"/>
              </w:rPr>
              <w:t>24,000.00</w:t>
            </w:r>
            <w:r>
              <w:rPr>
                <w:rFonts w:ascii="Arial" w:cs="Arial" w:hAnsi="Arial"/>
                <w:sz w:val="20"/>
                <w:szCs w:val="20"/>
              </w:rPr>
              <w:t xml:space="preserve">    </w:t>
            </w:r>
          </w:p>
          <w:p w14:paraId="00000019">
            <w:pPr>
              <w:pStyle w:val="ListParagraph"/>
              <w:rPr>
                <w:rFonts w:ascii="Arial" w:cs="Arial" w:hAnsi="Arial"/>
                <w:sz w:val="20"/>
                <w:szCs w:val="20"/>
              </w:rPr>
            </w:pPr>
            <w:r>
              <w:rPr>
                <w:rFonts w:ascii="Arial" w:cs="Arial" w:hAnsi="Arial"/>
                <w:sz w:val="20"/>
                <w:szCs w:val="20"/>
              </w:rPr>
              <w:t>Seats &amp; Benches</w:t>
            </w:r>
            <w:r>
              <w:rPr>
                <w:rFonts w:ascii="Arial" w:cs="Arial" w:hAnsi="Arial"/>
                <w:sz w:val="20"/>
                <w:szCs w:val="20"/>
              </w:rPr>
              <w:t xml:space="preserve">                 £</w:t>
            </w:r>
            <w:r>
              <w:rPr>
                <w:rFonts w:ascii="Arial" w:cs="Arial" w:hAnsi="Arial"/>
                <w:sz w:val="20"/>
                <w:szCs w:val="20"/>
              </w:rPr>
              <w:t>4,482.68</w:t>
            </w:r>
          </w:p>
          <w:p w14:paraId="0000001A">
            <w:pPr>
              <w:pStyle w:val="ListParagraph"/>
              <w:rPr>
                <w:rFonts w:ascii="Arial" w:cs="Arial" w:hAnsi="Arial"/>
                <w:sz w:val="20"/>
                <w:szCs w:val="20"/>
              </w:rPr>
            </w:pPr>
            <w:r>
              <w:rPr>
                <w:rFonts w:ascii="Arial" w:cs="Arial" w:hAnsi="Arial"/>
                <w:sz w:val="20"/>
                <w:szCs w:val="20"/>
              </w:rPr>
              <w:t>Gates &amp; Fences</w:t>
            </w:r>
            <w:r>
              <w:rPr>
                <w:rFonts w:ascii="Arial" w:cs="Arial" w:hAnsi="Arial"/>
                <w:sz w:val="20"/>
                <w:szCs w:val="20"/>
              </w:rPr>
              <w:t xml:space="preserve">                   £22,338.93</w:t>
            </w:r>
          </w:p>
          <w:p w14:paraId="0000001B">
            <w:pPr>
              <w:pStyle w:val="ListParagraph"/>
              <w:rPr>
                <w:rFonts w:ascii="Arial" w:cs="Arial" w:hAnsi="Arial"/>
                <w:sz w:val="20"/>
                <w:szCs w:val="20"/>
              </w:rPr>
            </w:pPr>
            <w:r>
              <w:rPr>
                <w:rFonts w:ascii="Arial" w:cs="Arial" w:hAnsi="Arial"/>
                <w:sz w:val="20"/>
                <w:szCs w:val="20"/>
              </w:rPr>
              <w:t>Notice Boards                      £3,074.06</w:t>
            </w:r>
          </w:p>
          <w:p w14:paraId="0000001C">
            <w:pPr>
              <w:pStyle w:val="ListParagraph"/>
              <w:rPr>
                <w:rFonts w:ascii="Arial" w:cs="Arial" w:hAnsi="Arial"/>
                <w:sz w:val="20"/>
                <w:szCs w:val="20"/>
              </w:rPr>
            </w:pPr>
            <w:r>
              <w:rPr>
                <w:rFonts w:ascii="Arial" w:cs="Arial" w:hAnsi="Arial"/>
                <w:sz w:val="20"/>
                <w:szCs w:val="20"/>
              </w:rPr>
              <w:t xml:space="preserve">Playground Equipment      </w:t>
            </w:r>
            <w:r>
              <w:rPr>
                <w:rFonts w:ascii="Arial" w:cs="Arial" w:hAnsi="Arial"/>
                <w:sz w:val="20"/>
                <w:szCs w:val="20"/>
              </w:rPr>
              <w:t xml:space="preserve"> </w:t>
            </w:r>
            <w:r>
              <w:rPr>
                <w:rFonts w:ascii="Arial" w:cs="Arial" w:hAnsi="Arial"/>
                <w:sz w:val="20"/>
                <w:szCs w:val="20"/>
              </w:rPr>
              <w:t xml:space="preserve"> £100,000.00</w:t>
            </w:r>
          </w:p>
          <w:p w14:paraId="0000001D">
            <w:pPr>
              <w:pStyle w:val="ListParagraph"/>
              <w:rPr>
                <w:rFonts w:ascii="Arial" w:cs="Arial" w:hAnsi="Arial"/>
                <w:sz w:val="20"/>
                <w:szCs w:val="20"/>
              </w:rPr>
            </w:pPr>
            <w:r>
              <w:rPr>
                <w:rFonts w:ascii="Arial" w:cs="Arial" w:hAnsi="Arial"/>
                <w:sz w:val="20"/>
                <w:szCs w:val="20"/>
              </w:rPr>
              <w:t xml:space="preserve">Other Ground surfaces      </w:t>
            </w:r>
            <w:r>
              <w:rPr>
                <w:rFonts w:ascii="Arial" w:cs="Arial" w:hAnsi="Arial"/>
                <w:sz w:val="20"/>
                <w:szCs w:val="20"/>
              </w:rPr>
              <w:t xml:space="preserve"> </w:t>
            </w:r>
            <w:r>
              <w:rPr>
                <w:rFonts w:ascii="Arial" w:cs="Arial" w:hAnsi="Arial"/>
                <w:sz w:val="20"/>
                <w:szCs w:val="20"/>
              </w:rPr>
              <w:t xml:space="preserve"> £20,000.00</w:t>
            </w:r>
          </w:p>
          <w:p w14:paraId="0000001E">
            <w:pPr>
              <w:rPr>
                <w:rFonts w:ascii="Arial" w:cs="Arial" w:hAnsi="Arial"/>
                <w:sz w:val="20"/>
                <w:szCs w:val="20"/>
              </w:rPr>
            </w:pPr>
          </w:p>
          <w:p w14:paraId="0000001F">
            <w:pPr>
              <w:pStyle w:val="ListParagraph"/>
              <w:numPr>
                <w:ilvl w:val="0"/>
                <w:numId w:val="16"/>
              </w:numPr>
              <w:rPr>
                <w:rFonts w:ascii="Arial" w:cs="Arial" w:hAnsi="Arial"/>
                <w:sz w:val="20"/>
                <w:szCs w:val="20"/>
              </w:rPr>
            </w:pPr>
            <w:r>
              <w:rPr>
                <w:rFonts w:ascii="Arial" w:cs="Arial" w:hAnsi="Arial"/>
                <w:sz w:val="20"/>
                <w:szCs w:val="20"/>
              </w:rPr>
              <w:t>Annual Review of Insurance cover and ensure Renewal premium is paid before the Renewal Date.</w:t>
            </w:r>
          </w:p>
          <w:p w14:paraId="00000020">
            <w:pPr>
              <w:rPr>
                <w:rFonts w:ascii="Arial" w:cs="Arial" w:hAnsi="Arial"/>
                <w:sz w:val="20"/>
                <w:szCs w:val="20"/>
              </w:rPr>
            </w:pPr>
          </w:p>
        </w:tc>
      </w:tr>
      <w:tr>
        <w:trPr/>
        <w:tc>
          <w:tcPr>
            <w:cnfStyle w:val="001000010000"/>
            <w:tcW w:w="3823" w:type="dxa"/>
          </w:tcPr>
          <w:p w14:paraId="00000021">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Arial" w:cs="Arial" w:hAnsi="Arial"/>
                <w:b/>
                <w:bCs/>
                <w:color w:val="000000"/>
                <w:sz w:val="20"/>
                <w:szCs w:val="24"/>
                <w:rtl w:val="off"/>
                <w:lang w:val="en-US"/>
              </w:rPr>
              <w:t xml:space="preserve">Risk of damage to third-party property or individuals resulting from the Council providing services or amenities to the public. </w:t>
            </w:r>
          </w:p>
          <w:p w14:paraId="00000022">
            <w:pPr>
              <w:rPr>
                <w:rFonts w:ascii="Arial" w:cs="Arial" w:hAnsi="Arial"/>
                <w:b/>
                <w:sz w:val="20"/>
                <w:szCs w:val="20"/>
              </w:rPr>
            </w:pPr>
          </w:p>
          <w:p w14:paraId="00000023">
            <w:pPr>
              <w:rPr>
                <w:rFonts w:ascii="Arial" w:cs="Arial" w:hAnsi="Arial"/>
                <w:b/>
                <w:sz w:val="20"/>
                <w:szCs w:val="20"/>
              </w:rPr>
            </w:pPr>
          </w:p>
        </w:tc>
        <w:tc>
          <w:tcPr>
            <w:cnfStyle w:val="000000010000"/>
            <w:tcW w:w="992" w:type="dxa"/>
          </w:tcPr>
          <w:p w14:paraId="00000024">
            <w:pPr>
              <w:pStyle w:val="ListParagraph"/>
              <w:ind w:left="360"/>
              <w:rPr>
                <w:rFonts w:ascii="Arial" w:cs="Arial" w:hAnsi="Arial"/>
                <w:sz w:val="20"/>
                <w:szCs w:val="20"/>
              </w:rPr>
            </w:pPr>
            <w:r>
              <w:rPr>
                <w:rFonts w:ascii="Arial" w:cs="Arial" w:hAnsi="Arial"/>
                <w:sz w:val="20"/>
                <w:szCs w:val="20"/>
              </w:rPr>
              <w:t>M</w:t>
            </w:r>
          </w:p>
        </w:tc>
        <w:tc>
          <w:tcPr>
            <w:cnfStyle w:val="000000010000"/>
            <w:tcW w:w="4678" w:type="dxa"/>
          </w:tcPr>
          <w:p w14:paraId="00000025">
            <w:pPr>
              <w:pStyle w:val="ListParagraph"/>
              <w:numPr>
                <w:ilvl w:val="0"/>
                <w:numId w:val="16"/>
              </w:numPr>
              <w:rPr>
                <w:rFonts w:ascii="Arial" w:cs="Arial" w:hAnsi="Arial"/>
                <w:sz w:val="20"/>
                <w:szCs w:val="20"/>
              </w:rPr>
            </w:pPr>
            <w:r>
              <w:rPr>
                <w:rFonts w:ascii="Arial" w:cs="Arial" w:hAnsi="Arial"/>
                <w:sz w:val="20"/>
                <w:szCs w:val="20"/>
              </w:rPr>
              <w:t xml:space="preserve">Public Liability covered by the above Insurance Policy. </w:t>
            </w:r>
          </w:p>
        </w:tc>
      </w:tr>
      <w:tr>
        <w:trPr/>
        <w:tc>
          <w:tcPr>
            <w:cnfStyle w:val="001000100000"/>
            <w:tcW w:w="3823" w:type="dxa"/>
          </w:tcPr>
          <w:p w14:paraId="00000026">
            <w:pPr>
              <w:rPr>
                <w:rFonts w:ascii="Arial" w:cs="Arial" w:hAnsi="Arial"/>
                <w:b/>
                <w:sz w:val="20"/>
                <w:szCs w:val="20"/>
              </w:rPr>
            </w:pPr>
            <w:r>
              <w:rPr>
                <w:rFonts w:ascii="Arial" w:cs="Arial" w:hAnsi="Arial"/>
                <w:b/>
                <w:sz w:val="20"/>
                <w:szCs w:val="20"/>
              </w:rPr>
              <w:t>Loss of cash through theft or dishonesty</w:t>
            </w:r>
          </w:p>
        </w:tc>
        <w:tc>
          <w:tcPr>
            <w:cnfStyle w:val="000000100000"/>
            <w:tcW w:w="992" w:type="dxa"/>
          </w:tcPr>
          <w:p w14:paraId="00000027">
            <w:pPr>
              <w:pStyle w:val="ListParagraph"/>
              <w:ind w:left="360"/>
              <w:rPr>
                <w:rFonts w:ascii="Arial" w:cs="Arial" w:hAnsi="Arial"/>
                <w:sz w:val="20"/>
                <w:szCs w:val="20"/>
              </w:rPr>
            </w:pPr>
            <w:r>
              <w:rPr>
                <w:rFonts w:ascii="Arial" w:cs="Arial" w:hAnsi="Arial"/>
                <w:sz w:val="20"/>
                <w:szCs w:val="20"/>
              </w:rPr>
              <w:t>M</w:t>
            </w:r>
          </w:p>
          <w:p w14:paraId="00000028">
            <w:pPr>
              <w:rPr>
                <w:rFonts w:ascii="Arial" w:cs="Arial" w:hAnsi="Arial"/>
                <w:sz w:val="20"/>
                <w:szCs w:val="20"/>
              </w:rPr>
            </w:pPr>
          </w:p>
        </w:tc>
        <w:tc>
          <w:tcPr>
            <w:cnfStyle w:val="000000100000"/>
            <w:tcW w:w="4678" w:type="dxa"/>
          </w:tcPr>
          <w:p w14:paraId="00000029">
            <w:pPr>
              <w:pStyle w:val="ListParagraph"/>
              <w:numPr>
                <w:ilvl w:val="0"/>
                <w:numId w:val="16"/>
              </w:numPr>
              <w:rPr>
                <w:rFonts w:ascii="Arial" w:cs="Arial" w:hAnsi="Arial"/>
                <w:color w:val="000000"/>
                <w:sz w:val="20"/>
                <w:szCs w:val="24"/>
                <w:rtl w:val="off"/>
                <w:lang w:val="en-US"/>
              </w:rPr>
            </w:pPr>
            <w:r>
              <w:rPr>
                <w:rFonts w:ascii="Arial" w:cs="Arial" w:hAnsi="Arial"/>
                <w:color w:val="000000"/>
                <w:sz w:val="20"/>
                <w:szCs w:val="24"/>
                <w:rtl w:val="off"/>
                <w:lang w:val="en-US"/>
              </w:rPr>
              <w:t>Bank statement</w:t>
            </w:r>
            <w:r>
              <w:rPr>
                <w:rFonts w:ascii="Arial" w:cs="Arial" w:hAnsi="Arial"/>
                <w:color w:val="000000"/>
                <w:sz w:val="20"/>
                <w:szCs w:val="24"/>
                <w:rtl w:val="off"/>
                <w:lang w:val="en-US"/>
              </w:rPr>
              <w:t>s are checked and initialled by the Chairperson.</w:t>
            </w:r>
          </w:p>
          <w:p w14:paraId="0000002A">
            <w:pPr>
              <w:pStyle w:val="ListParagraph"/>
              <w:numPr>
                <w:ilvl w:val="0"/>
                <w:numId w:val="16"/>
              </w:numPr>
              <w:rPr>
                <w:rFonts w:ascii="Arial" w:cs="Arial" w:hAnsi="Arial"/>
                <w:color w:val="000000"/>
                <w:sz w:val="20"/>
                <w:szCs w:val="24"/>
                <w:rtl w:val="off"/>
                <w:lang w:val="en-US"/>
              </w:rPr>
            </w:pPr>
            <w:r>
              <w:rPr>
                <w:rFonts w:ascii="Arial" w:cs="Arial" w:hAnsi="Arial"/>
                <w:color w:val="000000"/>
                <w:sz w:val="20"/>
                <w:szCs w:val="24"/>
                <w:rtl w:val="off"/>
                <w:lang w:val="en-US"/>
              </w:rPr>
              <w:t xml:space="preserve">Signatures of two out of three authorised Councillors/RFO on cheques or on the Schedule of Payment, if payments are made via bank transfer. </w:t>
            </w:r>
          </w:p>
          <w:p w14:paraId="0000002B">
            <w:pPr>
              <w:pStyle w:val="ListParagraph"/>
              <w:numPr>
                <w:ilvl w:val="0"/>
                <w:numId w:val="16"/>
              </w:numPr>
              <w:rPr>
                <w:rFonts w:ascii="Segoe UI"/>
                <w:color w:val="000000"/>
                <w:sz w:val="18"/>
                <w:lang w:val="en-US"/>
              </w:rPr>
            </w:pPr>
            <w:r>
              <w:rPr>
                <w:rFonts w:ascii="Arial" w:cs="Arial" w:hAnsi="Arial"/>
                <w:color w:val="000000"/>
                <w:sz w:val="20"/>
                <w:szCs w:val="24"/>
                <w:rtl w:val="off"/>
                <w:lang w:val="en-US"/>
              </w:rPr>
              <w:t>Cheques/Schedule of Payment to be written before signing, with full supporting documents present</w:t>
            </w:r>
            <w:r>
              <w:rPr>
                <w:rFonts w:ascii="Segoe UI"/>
                <w:color w:val="000000"/>
                <w:sz w:val="18"/>
                <w:rtl w:val="off"/>
                <w:lang w:val="en-US"/>
              </w:rPr>
              <w:t xml:space="preserve">. </w:t>
            </w:r>
          </w:p>
          <w:p w14:paraId="0000002C">
            <w:pPr>
              <w:pStyle w:val="ListParagraph"/>
              <w:ind w:left="360" w:right="0" w:firstLine="0"/>
              <w:rPr>
                <w:rFonts w:ascii="Arial" w:cs="Arial" w:hAnsi="Arial"/>
                <w:sz w:val="20"/>
                <w:szCs w:val="20"/>
              </w:rPr>
            </w:pPr>
          </w:p>
        </w:tc>
      </w:tr>
      <w:tr>
        <w:trPr/>
        <w:tc>
          <w:tcPr>
            <w:cnfStyle w:val="001000010000"/>
            <w:tcW w:w="3823" w:type="dxa"/>
          </w:tcPr>
          <w:p w14:paraId="0000002D">
            <w:pPr>
              <w:rPr>
                <w:rFonts w:ascii="Arial" w:cs="Arial" w:hAnsi="Arial"/>
                <w:b/>
                <w:sz w:val="20"/>
                <w:szCs w:val="20"/>
              </w:rPr>
            </w:pPr>
            <w:r>
              <w:rPr>
                <w:rFonts w:ascii="Arial" w:cs="Arial" w:hAnsi="Arial"/>
                <w:b/>
                <w:sz w:val="20"/>
                <w:szCs w:val="20"/>
              </w:rPr>
              <w:t>Legal liability as a consequence of asset ownership</w:t>
            </w:r>
          </w:p>
        </w:tc>
        <w:tc>
          <w:tcPr>
            <w:cnfStyle w:val="000000010000"/>
            <w:tcW w:w="992" w:type="dxa"/>
          </w:tcPr>
          <w:p w14:paraId="0000002E">
            <w:pPr>
              <w:pStyle w:val="ListParagraph"/>
              <w:ind w:left="360"/>
              <w:rPr>
                <w:rFonts w:ascii="Arial" w:cs="Arial" w:hAnsi="Arial"/>
                <w:sz w:val="20"/>
                <w:szCs w:val="20"/>
              </w:rPr>
            </w:pPr>
            <w:r>
              <w:rPr>
                <w:rFonts w:ascii="Arial" w:cs="Arial" w:hAnsi="Arial"/>
                <w:sz w:val="20"/>
                <w:szCs w:val="20"/>
              </w:rPr>
              <w:t>L</w:t>
            </w:r>
          </w:p>
        </w:tc>
        <w:tc>
          <w:tcPr>
            <w:cnfStyle w:val="000000010000"/>
            <w:tcW w:w="4678" w:type="dxa"/>
          </w:tcPr>
          <w:p w14:paraId="0000002F">
            <w:pPr>
              <w:pStyle w:val="ListParagraph"/>
              <w:numPr>
                <w:ilvl w:val="0"/>
                <w:numId w:val="17"/>
              </w:numPr>
              <w:rPr>
                <w:rFonts w:ascii="Arial" w:cs="Arial" w:hAnsi="Arial"/>
                <w:sz w:val="20"/>
                <w:szCs w:val="20"/>
              </w:rPr>
            </w:pPr>
            <w:r>
              <w:rPr>
                <w:rFonts w:ascii="Arial" w:cs="Arial" w:hAnsi="Arial"/>
                <w:sz w:val="20"/>
                <w:szCs w:val="20"/>
              </w:rPr>
              <w:t>Public Liability covered by the above Insurance Policy.</w:t>
            </w:r>
          </w:p>
          <w:p w14:paraId="00000030">
            <w:pPr>
              <w:pStyle w:val="ListParagraph"/>
              <w:numPr>
                <w:ilvl w:val="0"/>
                <w:numId w:val="17"/>
              </w:numPr>
              <w:rPr>
                <w:rFonts w:ascii="Arial" w:cs="Arial" w:hAnsi="Arial"/>
                <w:sz w:val="20"/>
                <w:szCs w:val="20"/>
              </w:rPr>
            </w:pPr>
            <w:r>
              <w:rPr>
                <w:rFonts w:ascii="Arial" w:cs="Arial" w:hAnsi="Arial"/>
                <w:sz w:val="20"/>
                <w:szCs w:val="20"/>
              </w:rPr>
              <w:t>Up to date register of assets</w:t>
            </w:r>
            <w:r>
              <w:rPr>
                <w:rFonts w:ascii="Arial" w:cs="Arial" w:hAnsi="Arial"/>
                <w:sz w:val="20"/>
                <w:szCs w:val="20"/>
              </w:rPr>
              <w:t xml:space="preserve"> kept by the RFO.</w:t>
            </w:r>
          </w:p>
          <w:p w14:paraId="00000031">
            <w:pPr>
              <w:rPr>
                <w:rFonts w:ascii="Arial" w:cs="Arial" w:hAnsi="Arial"/>
                <w:sz w:val="20"/>
                <w:szCs w:val="20"/>
              </w:rPr>
            </w:pPr>
          </w:p>
        </w:tc>
      </w:tr>
      <w:tr>
        <w:trPr/>
        <w:tc>
          <w:tcPr>
            <w:cnfStyle w:val="001000100000"/>
            <w:tcW w:w="3823" w:type="dxa"/>
          </w:tcPr>
          <w:p w14:paraId="00000032">
            <w:pPr>
              <w:rPr>
                <w:rFonts w:ascii="Arial" w:cs="Arial" w:hAnsi="Arial"/>
                <w:b/>
                <w:sz w:val="20"/>
                <w:szCs w:val="20"/>
              </w:rPr>
            </w:pPr>
            <w:r>
              <w:rPr>
                <w:rFonts w:ascii="Arial" w:cs="Arial" w:hAnsi="Arial"/>
                <w:b/>
                <w:sz w:val="20"/>
                <w:szCs w:val="20"/>
              </w:rPr>
              <w:t>Maintenance of amenities and equipment</w:t>
            </w:r>
          </w:p>
        </w:tc>
        <w:tc>
          <w:tcPr>
            <w:cnfStyle w:val="000000100000"/>
            <w:tcW w:w="992" w:type="dxa"/>
          </w:tcPr>
          <w:p w14:paraId="00000033">
            <w:pPr>
              <w:pStyle w:val="ListParagraph"/>
              <w:ind w:left="360"/>
              <w:rPr>
                <w:rFonts w:ascii="Arial" w:cs="Arial" w:hAnsi="Arial"/>
                <w:sz w:val="20"/>
                <w:szCs w:val="20"/>
              </w:rPr>
            </w:pPr>
            <w:r>
              <w:rPr>
                <w:rFonts w:ascii="Arial" w:cs="Arial" w:hAnsi="Arial"/>
                <w:sz w:val="20"/>
                <w:szCs w:val="20"/>
              </w:rPr>
              <w:t>H</w:t>
            </w:r>
          </w:p>
          <w:p w14:paraId="00000034">
            <w:pPr>
              <w:rPr>
                <w:rFonts w:ascii="Arial" w:cs="Arial" w:hAnsi="Arial"/>
                <w:sz w:val="20"/>
                <w:szCs w:val="20"/>
              </w:rPr>
            </w:pPr>
          </w:p>
        </w:tc>
        <w:tc>
          <w:tcPr>
            <w:cnfStyle w:val="000000100000"/>
            <w:tcW w:w="4678" w:type="dxa"/>
          </w:tcPr>
          <w:p w14:paraId="00000035">
            <w:pPr>
              <w:pStyle w:val="ListParagraph"/>
              <w:numPr>
                <w:ilvl w:val="0"/>
                <w:numId w:val="18"/>
              </w:numPr>
              <w:rPr>
                <w:rFonts w:ascii="Arial" w:cs="Arial" w:hAnsi="Arial"/>
                <w:sz w:val="20"/>
                <w:szCs w:val="20"/>
              </w:rPr>
            </w:pPr>
            <w:r>
              <w:rPr>
                <w:rFonts w:ascii="Arial" w:cs="Arial" w:hAnsi="Arial"/>
                <w:sz w:val="20"/>
                <w:szCs w:val="20"/>
              </w:rPr>
              <w:t xml:space="preserve">Bi-annual review of contracts for the maintenance of play areas and grassed areas. </w:t>
            </w:r>
          </w:p>
          <w:p w14:paraId="00000036">
            <w:pPr>
              <w:pStyle w:val="ListParagraph"/>
              <w:numPr>
                <w:ilvl w:val="0"/>
                <w:numId w:val="18"/>
              </w:numPr>
              <w:rPr>
                <w:rFonts w:ascii="Arial" w:cs="Arial" w:hAnsi="Arial"/>
                <w:sz w:val="20"/>
                <w:szCs w:val="20"/>
              </w:rPr>
            </w:pPr>
            <w:r>
              <w:rPr>
                <w:rFonts w:ascii="Arial" w:cs="Arial" w:hAnsi="Arial"/>
                <w:sz w:val="20"/>
                <w:szCs w:val="20"/>
              </w:rPr>
              <w:t>Annual</w:t>
            </w:r>
            <w:r>
              <w:rPr>
                <w:rFonts w:ascii="Arial" w:cs="Arial" w:hAnsi="Arial"/>
                <w:sz w:val="20"/>
                <w:szCs w:val="20"/>
              </w:rPr>
              <w:t xml:space="preserve"> play area</w:t>
            </w:r>
            <w:r>
              <w:rPr>
                <w:rFonts w:ascii="Arial" w:cs="Arial" w:hAnsi="Arial"/>
                <w:sz w:val="20"/>
                <w:szCs w:val="20"/>
              </w:rPr>
              <w:t xml:space="preserve"> inspection by </w:t>
            </w:r>
            <w:r>
              <w:rPr>
                <w:rFonts w:ascii="Arial" w:cs="Arial" w:hAnsi="Arial"/>
                <w:sz w:val="20"/>
                <w:szCs w:val="20"/>
              </w:rPr>
              <w:t>RoSpa</w:t>
            </w:r>
            <w:r>
              <w:rPr>
                <w:rFonts w:ascii="Arial" w:cs="Arial" w:hAnsi="Arial"/>
                <w:sz w:val="20"/>
                <w:szCs w:val="20"/>
              </w:rPr>
              <w:t>.</w:t>
            </w:r>
          </w:p>
          <w:p w14:paraId="00000037">
            <w:pPr>
              <w:rPr>
                <w:rFonts w:ascii="Arial" w:cs="Arial" w:hAnsi="Arial"/>
                <w:sz w:val="20"/>
                <w:szCs w:val="20"/>
              </w:rPr>
            </w:pPr>
          </w:p>
        </w:tc>
      </w:tr>
      <w:tr>
        <w:trPr/>
        <w:tc>
          <w:tcPr>
            <w:cnfStyle w:val="001000010000"/>
            <w:tcW w:w="3823" w:type="dxa"/>
          </w:tcPr>
          <w:p w14:paraId="00000038">
            <w:pPr>
              <w:rPr>
                <w:rFonts w:ascii="Arial" w:cs="Arial" w:hAnsi="Arial"/>
                <w:b/>
                <w:sz w:val="20"/>
                <w:szCs w:val="20"/>
              </w:rPr>
            </w:pPr>
            <w:r>
              <w:rPr>
                <w:rFonts w:ascii="Arial" w:cs="Arial" w:hAnsi="Arial"/>
                <w:b/>
                <w:sz w:val="20"/>
                <w:szCs w:val="20"/>
              </w:rPr>
              <w:t>Banking arrangements</w:t>
            </w:r>
          </w:p>
        </w:tc>
        <w:tc>
          <w:tcPr>
            <w:cnfStyle w:val="000000010000"/>
            <w:tcW w:w="992" w:type="dxa"/>
          </w:tcPr>
          <w:p w14:paraId="00000039">
            <w:pPr>
              <w:pStyle w:val="ListParagraph"/>
              <w:ind w:left="360"/>
              <w:rPr>
                <w:rFonts w:ascii="Arial" w:cs="Arial" w:hAnsi="Arial"/>
                <w:sz w:val="20"/>
                <w:szCs w:val="20"/>
              </w:rPr>
            </w:pPr>
            <w:r>
              <w:rPr>
                <w:rFonts w:ascii="Arial" w:cs="Arial" w:hAnsi="Arial"/>
                <w:sz w:val="20"/>
                <w:szCs w:val="20"/>
              </w:rPr>
              <w:t>M</w:t>
            </w:r>
          </w:p>
        </w:tc>
        <w:tc>
          <w:tcPr>
            <w:cnfStyle w:val="000000010000"/>
            <w:tcW w:w="4678" w:type="dxa"/>
          </w:tcPr>
          <w:p w14:paraId="0000003A">
            <w:pPr>
              <w:pStyle w:val="ListParagraph"/>
              <w:numPr>
                <w:ilvl w:val="0"/>
                <w:numId w:val="19"/>
              </w:numPr>
              <w:rPr>
                <w:rFonts w:ascii="Arial" w:cs="Arial" w:hAnsi="Arial"/>
                <w:sz w:val="20"/>
                <w:szCs w:val="20"/>
              </w:rPr>
            </w:pPr>
            <w:r>
              <w:rPr>
                <w:rFonts w:ascii="Arial" w:cs="Arial" w:hAnsi="Arial"/>
                <w:sz w:val="20"/>
                <w:szCs w:val="20"/>
              </w:rPr>
              <w:t>Monthly bank reconciliation’s – reviewed by Internal Auditor yearly and Bank statements signed by Chair</w:t>
            </w:r>
            <w:r>
              <w:rPr>
                <w:rFonts w:ascii="Arial" w:cs="Arial" w:hAnsi="Arial"/>
                <w:sz w:val="20"/>
                <w:szCs w:val="20"/>
              </w:rPr>
              <w:t>person</w:t>
            </w:r>
            <w:r>
              <w:rPr>
                <w:rFonts w:ascii="Arial" w:cs="Arial" w:hAnsi="Arial"/>
                <w:sz w:val="20"/>
                <w:szCs w:val="20"/>
              </w:rPr>
              <w:t xml:space="preserve"> monthly.</w:t>
            </w:r>
          </w:p>
          <w:p w14:paraId="0000003B">
            <w:pPr>
              <w:pStyle w:val="ListParagraph"/>
              <w:numPr>
                <w:ilvl w:val="0"/>
                <w:numId w:val="19"/>
              </w:numPr>
              <w:rPr>
                <w:rFonts w:ascii="Arial" w:cs="Arial" w:hAnsi="Arial"/>
                <w:sz w:val="20"/>
                <w:szCs w:val="20"/>
              </w:rPr>
            </w:pPr>
            <w:r>
              <w:rPr>
                <w:rFonts w:ascii="Arial" w:cs="Arial" w:hAnsi="Arial"/>
                <w:sz w:val="20"/>
                <w:szCs w:val="20"/>
              </w:rPr>
              <w:t xml:space="preserve">Standing </w:t>
            </w:r>
            <w:r>
              <w:rPr>
                <w:rFonts w:ascii="Arial" w:cs="Arial" w:hAnsi="Arial"/>
                <w:sz w:val="20"/>
                <w:szCs w:val="20"/>
              </w:rPr>
              <w:t>O</w:t>
            </w:r>
            <w:r>
              <w:rPr>
                <w:rFonts w:ascii="Arial" w:cs="Arial" w:hAnsi="Arial"/>
                <w:sz w:val="20"/>
                <w:szCs w:val="20"/>
              </w:rPr>
              <w:t xml:space="preserve">rders and </w:t>
            </w:r>
            <w:r>
              <w:rPr>
                <w:rFonts w:ascii="Arial" w:cs="Arial" w:hAnsi="Arial"/>
                <w:sz w:val="20"/>
                <w:szCs w:val="20"/>
              </w:rPr>
              <w:t>F</w:t>
            </w:r>
            <w:r>
              <w:rPr>
                <w:rFonts w:ascii="Arial" w:cs="Arial" w:hAnsi="Arial"/>
                <w:sz w:val="20"/>
                <w:szCs w:val="20"/>
              </w:rPr>
              <w:t xml:space="preserve">inancial </w:t>
            </w:r>
            <w:r>
              <w:rPr>
                <w:rFonts w:ascii="Arial" w:cs="Arial" w:hAnsi="Arial"/>
                <w:sz w:val="20"/>
                <w:szCs w:val="20"/>
              </w:rPr>
              <w:t>R</w:t>
            </w:r>
            <w:r>
              <w:rPr>
                <w:rFonts w:ascii="Arial" w:cs="Arial" w:hAnsi="Arial"/>
                <w:sz w:val="20"/>
                <w:szCs w:val="20"/>
              </w:rPr>
              <w:t xml:space="preserve">egulations </w:t>
            </w:r>
            <w:r>
              <w:rPr>
                <w:rFonts w:ascii="Arial" w:cs="Arial" w:hAnsi="Arial"/>
                <w:sz w:val="20"/>
                <w:szCs w:val="20"/>
              </w:rPr>
              <w:t xml:space="preserve">- </w:t>
            </w:r>
            <w:r>
              <w:rPr>
                <w:rFonts w:ascii="Arial" w:cs="Arial" w:hAnsi="Arial"/>
                <w:sz w:val="20"/>
                <w:szCs w:val="20"/>
              </w:rPr>
              <w:t>reviewed annually.</w:t>
            </w:r>
          </w:p>
          <w:p w14:paraId="0000003C">
            <w:pPr>
              <w:pStyle w:val="ListParagraph"/>
              <w:numPr>
                <w:ilvl w:val="0"/>
                <w:numId w:val="19"/>
              </w:numPr>
              <w:rPr>
                <w:rFonts w:ascii="Arial" w:cs="Arial" w:hAnsi="Arial"/>
                <w:sz w:val="20"/>
                <w:szCs w:val="20"/>
              </w:rPr>
            </w:pPr>
            <w:r>
              <w:rPr>
                <w:rFonts w:ascii="Arial" w:cs="Arial" w:hAnsi="Arial"/>
                <w:sz w:val="20"/>
                <w:szCs w:val="20"/>
              </w:rPr>
              <w:t>Requirement to report all payments to Council for approval.</w:t>
            </w:r>
          </w:p>
          <w:p w14:paraId="0000003D">
            <w:pPr>
              <w:pStyle w:val="ListParagraph"/>
              <w:numPr>
                <w:ilvl w:val="0"/>
                <w:numId w:val="19"/>
              </w:numPr>
              <w:rPr>
                <w:rFonts w:ascii="Arial" w:cs="Arial" w:hAnsi="Arial"/>
                <w:sz w:val="20"/>
                <w:szCs w:val="20"/>
              </w:rPr>
            </w:pPr>
            <w:r>
              <w:rPr>
                <w:rFonts w:ascii="Arial" w:cs="Arial" w:hAnsi="Arial"/>
                <w:color w:val="000000"/>
                <w:sz w:val="20"/>
                <w:szCs w:val="24"/>
                <w:rtl w:val="off"/>
                <w:lang w:val="en-US"/>
              </w:rPr>
              <w:t xml:space="preserve">Cheques/Schedule of Payment must be prepared before signing, with full supporting documents present. </w:t>
            </w:r>
          </w:p>
          <w:p w14:paraId="0000003E">
            <w:pPr>
              <w:pStyle w:val="ListParagraph"/>
              <w:numPr>
                <w:ilvl w:val="0"/>
                <w:numId w:val="19"/>
              </w:numPr>
              <w:rPr>
                <w:rFonts w:ascii="Arial" w:cs="Arial" w:hAnsi="Arial"/>
                <w:sz w:val="20"/>
                <w:szCs w:val="20"/>
              </w:rPr>
            </w:pPr>
            <w:r>
              <w:rPr>
                <w:rFonts w:ascii="Arial" w:cs="Arial" w:hAnsi="Arial"/>
                <w:sz w:val="20"/>
                <w:szCs w:val="20"/>
              </w:rPr>
              <w:t>Bank reconciliation carried out on the receipt of each statement.</w:t>
            </w:r>
          </w:p>
          <w:p w14:paraId="0000003F">
            <w:pPr>
              <w:pStyle w:val="ListParagraph"/>
              <w:ind w:left="360"/>
              <w:rPr>
                <w:rFonts w:ascii="Arial" w:cs="Arial" w:hAnsi="Arial"/>
                <w:sz w:val="20"/>
                <w:szCs w:val="20"/>
              </w:rPr>
            </w:pPr>
          </w:p>
        </w:tc>
      </w:tr>
      <w:tr>
        <w:trPr/>
        <w:tc>
          <w:tcPr>
            <w:cnfStyle w:val="001000100000"/>
            <w:tcW w:w="3823" w:type="dxa"/>
          </w:tcPr>
          <w:p w14:paraId="00000040">
            <w:pPr>
              <w:rPr>
                <w:rFonts w:ascii="Arial" w:cs="Arial" w:hAnsi="Arial"/>
                <w:b/>
                <w:sz w:val="20"/>
                <w:szCs w:val="20"/>
              </w:rPr>
            </w:pPr>
            <w:r>
              <w:rPr>
                <w:rFonts w:ascii="Arial" w:cs="Arial" w:hAnsi="Arial"/>
                <w:b/>
                <w:sz w:val="20"/>
                <w:szCs w:val="20"/>
              </w:rPr>
              <w:t>Keeping proper financial records in accordance with statutory requirements</w:t>
            </w:r>
          </w:p>
          <w:p w14:paraId="00000041">
            <w:pPr>
              <w:rPr>
                <w:rFonts w:ascii="Arial" w:cs="Arial" w:hAnsi="Arial"/>
                <w:b/>
                <w:sz w:val="20"/>
                <w:szCs w:val="20"/>
              </w:rPr>
            </w:pPr>
          </w:p>
        </w:tc>
        <w:tc>
          <w:tcPr>
            <w:cnfStyle w:val="000000100000"/>
            <w:tcW w:w="992" w:type="dxa"/>
          </w:tcPr>
          <w:p w14:paraId="00000042">
            <w:pPr>
              <w:pStyle w:val="ListParagraph"/>
              <w:ind w:left="360"/>
              <w:rPr>
                <w:rFonts w:ascii="Arial" w:cs="Arial" w:hAnsi="Arial"/>
                <w:sz w:val="20"/>
                <w:szCs w:val="20"/>
              </w:rPr>
            </w:pPr>
            <w:r>
              <w:rPr>
                <w:rFonts w:ascii="Arial" w:cs="Arial" w:hAnsi="Arial"/>
                <w:sz w:val="20"/>
                <w:szCs w:val="20"/>
              </w:rPr>
              <w:t>M</w:t>
            </w:r>
          </w:p>
        </w:tc>
        <w:tc>
          <w:tcPr>
            <w:cnfStyle w:val="000000100000"/>
            <w:tcW w:w="4678" w:type="dxa"/>
          </w:tcPr>
          <w:p w14:paraId="00000043">
            <w:pPr>
              <w:pStyle w:val="ListParagraph"/>
              <w:numPr>
                <w:ilvl w:val="0"/>
                <w:numId w:val="20"/>
              </w:numPr>
              <w:rPr>
                <w:rFonts w:ascii="Arial" w:cs="Arial" w:hAnsi="Arial"/>
                <w:sz w:val="20"/>
                <w:szCs w:val="20"/>
              </w:rPr>
            </w:pPr>
            <w:r>
              <w:rPr>
                <w:rFonts w:ascii="Arial" w:cs="Arial" w:hAnsi="Arial"/>
                <w:sz w:val="20"/>
                <w:szCs w:val="20"/>
              </w:rPr>
              <w:t xml:space="preserve">Regular scrutiny of financial records, with proper arrangements for the approval of expenditure. </w:t>
            </w:r>
          </w:p>
          <w:p w14:paraId="00000044">
            <w:pPr>
              <w:pStyle w:val="ListParagraph"/>
              <w:numPr>
                <w:ilvl w:val="0"/>
                <w:numId w:val="20"/>
              </w:numPr>
              <w:rPr>
                <w:rFonts w:ascii="Arial" w:cs="Arial" w:hAnsi="Arial"/>
                <w:sz w:val="20"/>
                <w:szCs w:val="20"/>
              </w:rPr>
            </w:pPr>
            <w:r>
              <w:rPr>
                <w:rFonts w:ascii="Arial" w:cs="Arial" w:hAnsi="Arial"/>
                <w:sz w:val="20"/>
                <w:szCs w:val="20"/>
              </w:rPr>
              <w:t>Signatory initials on Cheque stubs.</w:t>
            </w:r>
          </w:p>
          <w:p w14:paraId="00000045">
            <w:pPr>
              <w:pStyle w:val="ListParagraph"/>
              <w:ind w:left="360"/>
              <w:rPr>
                <w:rFonts w:ascii="Arial" w:cs="Arial" w:hAnsi="Arial"/>
                <w:sz w:val="20"/>
                <w:szCs w:val="20"/>
              </w:rPr>
            </w:pPr>
          </w:p>
        </w:tc>
      </w:tr>
      <w:tr>
        <w:trPr/>
        <w:tc>
          <w:tcPr>
            <w:cnfStyle w:val="001000010000"/>
            <w:tcW w:w="3823" w:type="dxa"/>
          </w:tcPr>
          <w:p w14:paraId="00000046">
            <w:pPr>
              <w:rPr>
                <w:rFonts w:ascii="Arial" w:cs="Arial" w:hAnsi="Arial"/>
                <w:b/>
                <w:sz w:val="20"/>
                <w:szCs w:val="20"/>
              </w:rPr>
            </w:pPr>
            <w:r>
              <w:rPr>
                <w:rFonts w:ascii="Arial" w:cs="Arial" w:hAnsi="Arial"/>
                <w:b/>
                <w:sz w:val="20"/>
                <w:szCs w:val="20"/>
              </w:rPr>
              <w:t>Ensuring all business activities are within legal powers applicable to local councils</w:t>
            </w:r>
          </w:p>
          <w:p w14:paraId="00000047">
            <w:pPr>
              <w:rPr>
                <w:rFonts w:ascii="Arial" w:cs="Arial" w:hAnsi="Arial"/>
                <w:b/>
                <w:sz w:val="20"/>
                <w:szCs w:val="20"/>
              </w:rPr>
            </w:pPr>
          </w:p>
        </w:tc>
        <w:tc>
          <w:tcPr>
            <w:cnfStyle w:val="000000010000"/>
            <w:tcW w:w="992" w:type="dxa"/>
          </w:tcPr>
          <w:p w14:paraId="00000048">
            <w:pPr>
              <w:pStyle w:val="ListParagraph"/>
              <w:ind w:left="360"/>
              <w:rPr>
                <w:rFonts w:ascii="Arial" w:cs="Arial" w:hAnsi="Arial"/>
                <w:sz w:val="20"/>
                <w:szCs w:val="20"/>
              </w:rPr>
            </w:pPr>
            <w:r>
              <w:rPr>
                <w:rFonts w:ascii="Arial" w:cs="Arial" w:hAnsi="Arial"/>
                <w:sz w:val="20"/>
                <w:szCs w:val="20"/>
              </w:rPr>
              <w:t>L</w:t>
            </w:r>
          </w:p>
          <w:p w14:paraId="00000049">
            <w:pPr>
              <w:rPr>
                <w:rFonts w:ascii="Arial" w:cs="Arial" w:hAnsi="Arial"/>
                <w:sz w:val="20"/>
                <w:szCs w:val="20"/>
              </w:rPr>
            </w:pPr>
          </w:p>
        </w:tc>
        <w:tc>
          <w:tcPr>
            <w:cnfStyle w:val="000000010000"/>
            <w:tcW w:w="4678" w:type="dxa"/>
          </w:tcPr>
          <w:p w14:paraId="0000004A">
            <w:pPr>
              <w:pStyle w:val="ListParagraph"/>
              <w:numPr>
                <w:ilvl w:val="0"/>
                <w:numId w:val="21"/>
              </w:numPr>
              <w:rPr>
                <w:rFonts w:ascii="Arial" w:cs="Arial" w:hAnsi="Arial"/>
                <w:sz w:val="20"/>
                <w:szCs w:val="20"/>
              </w:rPr>
            </w:pPr>
            <w:r>
              <w:rPr>
                <w:rFonts w:ascii="Arial" w:cs="Arial" w:hAnsi="Arial"/>
                <w:sz w:val="20"/>
                <w:szCs w:val="20"/>
              </w:rPr>
              <w:t xml:space="preserve">Recording in the minutes the </w:t>
            </w:r>
            <w:r>
              <w:rPr>
                <w:rFonts w:ascii="Arial" w:cs="Arial" w:hAnsi="Arial"/>
                <w:sz w:val="20"/>
                <w:szCs w:val="20"/>
              </w:rPr>
              <w:t>specific</w:t>
            </w:r>
            <w:r>
              <w:rPr>
                <w:rFonts w:ascii="Arial" w:cs="Arial" w:hAnsi="Arial"/>
                <w:sz w:val="20"/>
                <w:szCs w:val="20"/>
              </w:rPr>
              <w:t xml:space="preserve"> powers under which expenditure is being approved.</w:t>
            </w:r>
          </w:p>
          <w:p w14:paraId="0000004B">
            <w:pPr>
              <w:pStyle w:val="ListParagraph"/>
              <w:numPr>
                <w:ilvl w:val="0"/>
                <w:numId w:val="21"/>
              </w:numPr>
              <w:rPr>
                <w:rFonts w:ascii="Arial" w:cs="Arial" w:hAnsi="Arial"/>
                <w:sz w:val="20"/>
                <w:szCs w:val="20"/>
              </w:rPr>
            </w:pPr>
            <w:r>
              <w:rPr>
                <w:rFonts w:ascii="Arial" w:cs="Arial" w:hAnsi="Arial"/>
                <w:sz w:val="20"/>
                <w:szCs w:val="20"/>
              </w:rPr>
              <w:t>Appropriate training offered to Cl</w:t>
            </w:r>
            <w:r>
              <w:rPr>
                <w:rFonts w:ascii="Arial" w:cs="Arial" w:hAnsi="Arial"/>
                <w:sz w:val="20"/>
                <w:szCs w:val="20"/>
              </w:rPr>
              <w:t>erk/RFO</w:t>
            </w:r>
            <w:r>
              <w:rPr>
                <w:rFonts w:ascii="Arial" w:cs="Arial" w:hAnsi="Arial"/>
                <w:sz w:val="20"/>
                <w:szCs w:val="20"/>
              </w:rPr>
              <w:t xml:space="preserve"> and Councillors.</w:t>
            </w:r>
          </w:p>
          <w:p w14:paraId="0000004C">
            <w:pPr>
              <w:rPr>
                <w:rFonts w:ascii="Arial" w:cs="Arial" w:hAnsi="Arial"/>
                <w:sz w:val="20"/>
                <w:szCs w:val="20"/>
              </w:rPr>
            </w:pPr>
          </w:p>
        </w:tc>
      </w:tr>
      <w:tr>
        <w:trPr/>
        <w:tc>
          <w:tcPr>
            <w:cnfStyle w:val="001000100000"/>
            <w:tcW w:w="3823" w:type="dxa"/>
          </w:tcPr>
          <w:p w14:paraId="0000004D">
            <w:pPr>
              <w:rPr>
                <w:rFonts w:ascii="Arial" w:cs="Arial" w:hAnsi="Arial"/>
                <w:b/>
                <w:sz w:val="20"/>
                <w:szCs w:val="20"/>
              </w:rPr>
            </w:pPr>
            <w:r>
              <w:rPr>
                <w:rFonts w:ascii="Arial" w:cs="Arial" w:hAnsi="Arial"/>
                <w:b/>
                <w:sz w:val="20"/>
                <w:szCs w:val="20"/>
              </w:rPr>
              <w:t>Ensuring that all requirements are met under employment law and Inland Revenue regulations</w:t>
            </w:r>
          </w:p>
          <w:p w14:paraId="0000004E">
            <w:pPr>
              <w:rPr>
                <w:rFonts w:ascii="Arial" w:cs="Arial" w:hAnsi="Arial"/>
                <w:b/>
                <w:sz w:val="20"/>
                <w:szCs w:val="20"/>
              </w:rPr>
            </w:pPr>
          </w:p>
        </w:tc>
        <w:tc>
          <w:tcPr>
            <w:cnfStyle w:val="000000100000"/>
            <w:tcW w:w="992" w:type="dxa"/>
          </w:tcPr>
          <w:p w14:paraId="0000004F">
            <w:pPr>
              <w:pStyle w:val="ListParagraph"/>
              <w:ind w:left="360"/>
              <w:rPr>
                <w:rFonts w:ascii="Arial" w:cs="Arial" w:hAnsi="Arial"/>
                <w:sz w:val="20"/>
                <w:szCs w:val="20"/>
              </w:rPr>
            </w:pPr>
            <w:r>
              <w:rPr>
                <w:rFonts w:ascii="Arial" w:cs="Arial" w:hAnsi="Arial"/>
                <w:sz w:val="20"/>
                <w:szCs w:val="20"/>
              </w:rPr>
              <w:t>M</w:t>
            </w:r>
          </w:p>
        </w:tc>
        <w:tc>
          <w:tcPr>
            <w:cnfStyle w:val="000000100000"/>
            <w:tcW w:w="4678" w:type="dxa"/>
          </w:tcPr>
          <w:p w14:paraId="00000050">
            <w:pPr>
              <w:pStyle w:val="ListParagraph"/>
              <w:numPr>
                <w:ilvl w:val="0"/>
                <w:numId w:val="22"/>
              </w:numPr>
              <w:rPr>
                <w:rFonts w:ascii="Arial" w:cs="Arial" w:hAnsi="Arial"/>
                <w:sz w:val="20"/>
                <w:szCs w:val="20"/>
              </w:rPr>
            </w:pPr>
            <w:r>
              <w:rPr>
                <w:rFonts w:ascii="Arial" w:cs="Arial" w:hAnsi="Arial"/>
                <w:sz w:val="20"/>
                <w:szCs w:val="20"/>
              </w:rPr>
              <w:t>All employees registered for PAYE.</w:t>
            </w:r>
          </w:p>
          <w:p w14:paraId="00000051">
            <w:pPr>
              <w:pStyle w:val="ListParagraph"/>
              <w:numPr>
                <w:ilvl w:val="0"/>
                <w:numId w:val="22"/>
              </w:numPr>
              <w:rPr>
                <w:rFonts w:ascii="Arial" w:cs="Arial" w:hAnsi="Arial"/>
                <w:sz w:val="20"/>
                <w:szCs w:val="20"/>
              </w:rPr>
            </w:pPr>
            <w:r>
              <w:rPr>
                <w:rFonts w:ascii="Arial" w:cs="Arial" w:hAnsi="Arial"/>
                <w:sz w:val="20"/>
                <w:szCs w:val="20"/>
              </w:rPr>
              <w:t xml:space="preserve">Salary payments to be checked against minutes and PAYE calculations </w:t>
            </w:r>
            <w:r>
              <w:rPr>
                <w:rFonts w:ascii="Arial" w:cs="Arial" w:hAnsi="Arial"/>
                <w:sz w:val="20"/>
                <w:szCs w:val="20"/>
              </w:rPr>
              <w:t>must</w:t>
            </w:r>
            <w:r>
              <w:rPr>
                <w:rFonts w:ascii="Arial" w:cs="Arial" w:hAnsi="Arial"/>
                <w:sz w:val="20"/>
                <w:szCs w:val="20"/>
              </w:rPr>
              <w:t xml:space="preserve"> be verified by Internal Audit annually. </w:t>
            </w:r>
          </w:p>
          <w:p w14:paraId="00000052">
            <w:pPr>
              <w:pStyle w:val="ListParagraph"/>
              <w:numPr>
                <w:ilvl w:val="0"/>
                <w:numId w:val="22"/>
              </w:numPr>
              <w:rPr>
                <w:rFonts w:ascii="Arial" w:cs="Arial" w:hAnsi="Arial"/>
                <w:sz w:val="20"/>
                <w:szCs w:val="20"/>
              </w:rPr>
            </w:pPr>
            <w:r>
              <w:rPr>
                <w:rFonts w:ascii="Arial" w:cs="Arial" w:hAnsi="Arial"/>
                <w:sz w:val="20"/>
                <w:szCs w:val="20"/>
              </w:rPr>
              <w:t xml:space="preserve">Compliance with the Pensions Regulator under the Pensions Act 2008. </w:t>
            </w:r>
          </w:p>
          <w:p w14:paraId="00000053">
            <w:pPr>
              <w:pStyle w:val="ListParagraph"/>
              <w:ind w:left="360"/>
              <w:rPr>
                <w:rFonts w:ascii="Arial" w:cs="Arial" w:hAnsi="Arial"/>
                <w:sz w:val="20"/>
                <w:szCs w:val="20"/>
              </w:rPr>
            </w:pPr>
          </w:p>
        </w:tc>
      </w:tr>
      <w:tr>
        <w:trPr/>
        <w:tc>
          <w:tcPr>
            <w:cnfStyle w:val="001000010000"/>
            <w:tcW w:w="3823" w:type="dxa"/>
          </w:tcPr>
          <w:p w14:paraId="00000054">
            <w:pPr>
              <w:rPr>
                <w:rFonts w:ascii="Arial" w:cs="Arial" w:hAnsi="Arial"/>
                <w:b/>
                <w:sz w:val="20"/>
                <w:szCs w:val="20"/>
              </w:rPr>
            </w:pPr>
            <w:r>
              <w:rPr>
                <w:rFonts w:ascii="Arial" w:cs="Arial" w:hAnsi="Arial"/>
                <w:b/>
                <w:sz w:val="20"/>
                <w:szCs w:val="20"/>
              </w:rPr>
              <w:t xml:space="preserve">Ensuring that all requirements are met under Custom and Excise regulations </w:t>
            </w:r>
          </w:p>
        </w:tc>
        <w:tc>
          <w:tcPr>
            <w:cnfStyle w:val="000000010000"/>
            <w:tcW w:w="992" w:type="dxa"/>
          </w:tcPr>
          <w:p w14:paraId="00000055">
            <w:pPr>
              <w:pStyle w:val="ListParagraph"/>
              <w:ind w:left="360"/>
              <w:rPr>
                <w:rFonts w:ascii="Arial" w:cs="Arial" w:hAnsi="Arial"/>
                <w:sz w:val="20"/>
                <w:szCs w:val="20"/>
              </w:rPr>
            </w:pPr>
            <w:r>
              <w:rPr>
                <w:rFonts w:ascii="Arial" w:cs="Arial" w:hAnsi="Arial"/>
                <w:sz w:val="20"/>
                <w:szCs w:val="20"/>
              </w:rPr>
              <w:t>M</w:t>
            </w:r>
          </w:p>
        </w:tc>
        <w:tc>
          <w:tcPr>
            <w:cnfStyle w:val="000000010000"/>
            <w:tcW w:w="4678" w:type="dxa"/>
          </w:tcPr>
          <w:p w14:paraId="00000056">
            <w:pPr>
              <w:pStyle w:val="ListParagraph"/>
              <w:numPr>
                <w:ilvl w:val="0"/>
                <w:numId w:val="23"/>
              </w:numPr>
              <w:rPr>
                <w:rFonts w:ascii="Arial" w:cs="Arial" w:hAnsi="Arial"/>
                <w:sz w:val="20"/>
                <w:szCs w:val="20"/>
              </w:rPr>
            </w:pPr>
            <w:r>
              <w:rPr>
                <w:rFonts w:ascii="Arial" w:cs="Arial" w:hAnsi="Arial"/>
                <w:sz w:val="20"/>
                <w:szCs w:val="20"/>
              </w:rPr>
              <w:t>Regular returns of VAT within prescribed time limit.</w:t>
            </w:r>
          </w:p>
          <w:p w14:paraId="00000057">
            <w:pPr>
              <w:rPr>
                <w:rFonts w:ascii="Arial" w:cs="Arial" w:hAnsi="Arial"/>
                <w:sz w:val="20"/>
                <w:szCs w:val="20"/>
              </w:rPr>
            </w:pPr>
          </w:p>
        </w:tc>
      </w:tr>
      <w:tr>
        <w:trPr/>
        <w:tc>
          <w:tcPr>
            <w:cnfStyle w:val="001000100000"/>
            <w:tcW w:w="3823" w:type="dxa"/>
          </w:tcPr>
          <w:p w14:paraId="00000058">
            <w:pPr>
              <w:rPr>
                <w:rFonts w:ascii="Arial" w:cs="Arial" w:hAnsi="Arial"/>
                <w:b/>
                <w:sz w:val="20"/>
                <w:szCs w:val="20"/>
              </w:rPr>
            </w:pPr>
            <w:r>
              <w:rPr>
                <w:rFonts w:ascii="Arial" w:cs="Arial" w:hAnsi="Arial"/>
                <w:b/>
                <w:sz w:val="20"/>
                <w:szCs w:val="20"/>
              </w:rPr>
              <w:t>Ensuring the adequacy of the annual precept with sound budgeting arrangements</w:t>
            </w:r>
          </w:p>
          <w:p w14:paraId="00000059">
            <w:pPr>
              <w:rPr>
                <w:rFonts w:ascii="Arial" w:cs="Arial" w:hAnsi="Arial"/>
                <w:b/>
                <w:sz w:val="20"/>
                <w:szCs w:val="20"/>
              </w:rPr>
            </w:pPr>
          </w:p>
        </w:tc>
        <w:tc>
          <w:tcPr>
            <w:cnfStyle w:val="000000100000"/>
            <w:tcW w:w="992" w:type="dxa"/>
          </w:tcPr>
          <w:p w14:paraId="0000005A">
            <w:pPr>
              <w:pStyle w:val="ListParagraph"/>
              <w:ind w:left="360"/>
              <w:rPr>
                <w:rFonts w:ascii="Arial" w:cs="Arial" w:hAnsi="Arial"/>
                <w:sz w:val="20"/>
                <w:szCs w:val="20"/>
              </w:rPr>
            </w:pPr>
            <w:r>
              <w:rPr>
                <w:rFonts w:ascii="Arial" w:cs="Arial" w:hAnsi="Arial"/>
                <w:sz w:val="20"/>
                <w:szCs w:val="20"/>
              </w:rPr>
              <w:t>L</w:t>
            </w:r>
          </w:p>
        </w:tc>
        <w:tc>
          <w:tcPr>
            <w:cnfStyle w:val="000000100000"/>
            <w:tcW w:w="4678" w:type="dxa"/>
          </w:tcPr>
          <w:p w14:paraId="0000005B">
            <w:pPr>
              <w:pStyle w:val="ListParagraph"/>
              <w:numPr>
                <w:ilvl w:val="0"/>
                <w:numId w:val="23"/>
              </w:numPr>
              <w:rPr>
                <w:rFonts w:ascii="Arial" w:cs="Arial" w:hAnsi="Arial"/>
                <w:sz w:val="20"/>
                <w:szCs w:val="20"/>
              </w:rPr>
            </w:pPr>
            <w:r>
              <w:rPr>
                <w:rFonts w:ascii="Arial" w:cs="Arial" w:hAnsi="Arial"/>
                <w:sz w:val="20"/>
                <w:szCs w:val="20"/>
              </w:rPr>
              <w:t xml:space="preserve">Regular budget monitoring statements and maintaining adequate reserves. </w:t>
            </w:r>
          </w:p>
          <w:p w14:paraId="0000005C">
            <w:pPr>
              <w:pStyle w:val="ListParagraph"/>
              <w:numPr>
                <w:ilvl w:val="0"/>
                <w:numId w:val="23"/>
              </w:numPr>
              <w:rPr>
                <w:rFonts w:ascii="Arial" w:cs="Arial" w:hAnsi="Arial"/>
                <w:sz w:val="20"/>
                <w:szCs w:val="20"/>
              </w:rPr>
            </w:pPr>
            <w:r>
              <w:rPr>
                <w:rFonts w:ascii="Arial" w:cs="Arial" w:hAnsi="Arial"/>
                <w:sz w:val="20"/>
                <w:szCs w:val="20"/>
              </w:rPr>
              <w:t xml:space="preserve">Detailed budget report presented to Council for consideration in December/January meeting. </w:t>
            </w:r>
          </w:p>
          <w:p w14:paraId="0000005D">
            <w:pPr>
              <w:pStyle w:val="ListParagraph"/>
              <w:numPr>
                <w:ilvl w:val="0"/>
                <w:numId w:val="23"/>
              </w:numPr>
              <w:rPr>
                <w:rFonts w:ascii="Arial" w:cs="Arial" w:hAnsi="Arial"/>
                <w:sz w:val="20"/>
                <w:szCs w:val="20"/>
              </w:rPr>
            </w:pPr>
            <w:r>
              <w:rPr>
                <w:rFonts w:ascii="Arial" w:cs="Arial" w:hAnsi="Arial"/>
                <w:sz w:val="20"/>
                <w:szCs w:val="20"/>
              </w:rPr>
              <w:t>Continue to ensure all expenditure is within legal powers.</w:t>
            </w:r>
          </w:p>
          <w:p w14:paraId="0000005E">
            <w:pPr>
              <w:rPr>
                <w:rFonts w:ascii="Arial" w:cs="Arial" w:hAnsi="Arial"/>
                <w:sz w:val="20"/>
                <w:szCs w:val="20"/>
              </w:rPr>
            </w:pPr>
          </w:p>
        </w:tc>
      </w:tr>
      <w:tr>
        <w:trPr/>
        <w:tc>
          <w:tcPr>
            <w:cnfStyle w:val="001000010000"/>
            <w:tcW w:w="3823" w:type="dxa"/>
          </w:tcPr>
          <w:p w14:paraId="0000005F">
            <w:pPr>
              <w:rPr>
                <w:rFonts w:ascii="Arial" w:cs="Arial" w:hAnsi="Arial"/>
                <w:b/>
                <w:sz w:val="20"/>
                <w:szCs w:val="20"/>
              </w:rPr>
            </w:pPr>
            <w:r>
              <w:rPr>
                <w:rFonts w:ascii="Arial" w:cs="Arial" w:hAnsi="Arial"/>
                <w:b/>
                <w:sz w:val="20"/>
                <w:szCs w:val="20"/>
              </w:rPr>
              <w:t>Proper, timely and accurate reporting of council business in the minutes</w:t>
            </w:r>
          </w:p>
          <w:p w14:paraId="00000060">
            <w:pPr>
              <w:rPr>
                <w:rFonts w:ascii="Arial" w:cs="Arial" w:hAnsi="Arial"/>
                <w:b/>
                <w:sz w:val="20"/>
                <w:szCs w:val="20"/>
              </w:rPr>
            </w:pPr>
          </w:p>
        </w:tc>
        <w:tc>
          <w:tcPr>
            <w:cnfStyle w:val="000000010000"/>
            <w:tcW w:w="992" w:type="dxa"/>
          </w:tcPr>
          <w:p w14:paraId="00000061">
            <w:pPr>
              <w:pStyle w:val="ListParagraph"/>
              <w:ind w:left="360"/>
              <w:rPr>
                <w:rFonts w:ascii="Arial" w:cs="Arial" w:hAnsi="Arial"/>
                <w:sz w:val="20"/>
                <w:szCs w:val="20"/>
              </w:rPr>
            </w:pPr>
            <w:r>
              <w:rPr>
                <w:rFonts w:ascii="Arial" w:cs="Arial" w:hAnsi="Arial"/>
                <w:sz w:val="20"/>
                <w:szCs w:val="20"/>
              </w:rPr>
              <w:t>L</w:t>
            </w:r>
          </w:p>
        </w:tc>
        <w:tc>
          <w:tcPr>
            <w:cnfStyle w:val="000000010000"/>
            <w:tcW w:w="4678" w:type="dxa"/>
          </w:tcPr>
          <w:p w14:paraId="00000062">
            <w:pPr>
              <w:pStyle w:val="ListParagraph"/>
              <w:numPr>
                <w:ilvl w:val="0"/>
                <w:numId w:val="24"/>
              </w:numPr>
              <w:rPr>
                <w:rFonts w:ascii="Arial" w:cs="Arial" w:hAnsi="Arial"/>
                <w:sz w:val="20"/>
                <w:szCs w:val="20"/>
              </w:rPr>
            </w:pPr>
            <w:r>
              <w:rPr>
                <w:rFonts w:ascii="Arial" w:cs="Arial" w:hAnsi="Arial"/>
                <w:sz w:val="20"/>
                <w:szCs w:val="20"/>
              </w:rPr>
              <w:t xml:space="preserve">Minutes properly numbered and paginated with a master copy kept in safe keeping. </w:t>
            </w:r>
          </w:p>
          <w:p w14:paraId="00000063">
            <w:pPr>
              <w:pStyle w:val="ListParagraph"/>
              <w:numPr>
                <w:ilvl w:val="0"/>
                <w:numId w:val="24"/>
              </w:numPr>
              <w:rPr>
                <w:rFonts w:ascii="Arial" w:cs="Arial" w:hAnsi="Arial"/>
                <w:sz w:val="20"/>
                <w:szCs w:val="20"/>
              </w:rPr>
            </w:pPr>
            <w:r>
              <w:rPr>
                <w:rFonts w:ascii="Arial" w:cs="Arial" w:hAnsi="Arial"/>
                <w:sz w:val="20"/>
                <w:szCs w:val="20"/>
              </w:rPr>
              <w:t xml:space="preserve">Minutes signed and dated by Chair on approval at following meeting.  </w:t>
            </w:r>
          </w:p>
          <w:p w14:paraId="00000064">
            <w:pPr>
              <w:pStyle w:val="ListParagraph"/>
              <w:numPr>
                <w:ilvl w:val="0"/>
                <w:numId w:val="24"/>
              </w:numPr>
              <w:rPr>
                <w:rFonts w:ascii="Arial" w:cs="Arial" w:hAnsi="Arial"/>
                <w:sz w:val="20"/>
                <w:szCs w:val="20"/>
              </w:rPr>
            </w:pPr>
            <w:r>
              <w:rPr>
                <w:rFonts w:ascii="Arial" w:cs="Arial" w:hAnsi="Arial"/>
                <w:sz w:val="20"/>
                <w:szCs w:val="20"/>
              </w:rPr>
              <w:t xml:space="preserve">Minutes published on </w:t>
            </w:r>
            <w:r>
              <w:rPr>
                <w:rFonts w:ascii="Arial" w:cs="Arial" w:hAnsi="Arial"/>
                <w:sz w:val="20"/>
                <w:szCs w:val="20"/>
              </w:rPr>
              <w:t>Trewern</w:t>
            </w:r>
            <w:r>
              <w:rPr>
                <w:rFonts w:ascii="Arial" w:cs="Arial" w:hAnsi="Arial"/>
                <w:sz w:val="20"/>
                <w:szCs w:val="20"/>
              </w:rPr>
              <w:t xml:space="preserve"> website.</w:t>
            </w:r>
          </w:p>
          <w:p w14:paraId="00000065">
            <w:pPr>
              <w:pStyle w:val="ListParagraph"/>
              <w:ind w:left="360"/>
              <w:rPr>
                <w:rFonts w:ascii="Arial" w:cs="Arial" w:hAnsi="Arial"/>
                <w:sz w:val="20"/>
                <w:szCs w:val="20"/>
              </w:rPr>
            </w:pPr>
          </w:p>
        </w:tc>
      </w:tr>
      <w:tr>
        <w:trPr/>
        <w:tc>
          <w:tcPr>
            <w:cnfStyle w:val="001000100000"/>
            <w:tcW w:w="3823" w:type="dxa"/>
          </w:tcPr>
          <w:p w14:paraId="00000066">
            <w:pPr>
              <w:rPr>
                <w:rFonts w:ascii="Arial" w:cs="Arial" w:hAnsi="Arial"/>
                <w:b/>
                <w:sz w:val="20"/>
                <w:szCs w:val="20"/>
              </w:rPr>
            </w:pPr>
            <w:r>
              <w:rPr>
                <w:rFonts w:ascii="Arial" w:cs="Arial" w:hAnsi="Arial"/>
                <w:b/>
                <w:sz w:val="20"/>
                <w:szCs w:val="20"/>
              </w:rPr>
              <w:t xml:space="preserve"> </w:t>
            </w:r>
            <w:r>
              <w:rPr>
                <w:rFonts w:ascii="Arial" w:cs="Arial" w:hAnsi="Arial"/>
                <w:b/>
                <w:sz w:val="20"/>
                <w:szCs w:val="20"/>
              </w:rPr>
              <w:t>Responding to electors wishing to exercise their rights of inspection and in relation to Freedom of Information Act</w:t>
            </w:r>
            <w:r>
              <w:rPr>
                <w:rFonts w:ascii="Arial" w:cs="Arial" w:hAnsi="Arial"/>
                <w:b/>
                <w:sz w:val="20"/>
                <w:szCs w:val="20"/>
              </w:rPr>
              <w:t xml:space="preserve"> </w:t>
            </w:r>
          </w:p>
        </w:tc>
        <w:tc>
          <w:tcPr>
            <w:cnfStyle w:val="000000100000"/>
            <w:tcW w:w="992" w:type="dxa"/>
          </w:tcPr>
          <w:p w14:paraId="00000067">
            <w:pPr>
              <w:pStyle w:val="ListParagraph"/>
              <w:ind w:left="360"/>
              <w:rPr>
                <w:rFonts w:ascii="Arial" w:cs="Arial" w:hAnsi="Arial"/>
                <w:sz w:val="20"/>
                <w:szCs w:val="20"/>
              </w:rPr>
            </w:pPr>
            <w:r>
              <w:rPr>
                <w:rFonts w:ascii="Arial" w:cs="Arial" w:hAnsi="Arial"/>
                <w:sz w:val="20"/>
                <w:szCs w:val="20"/>
              </w:rPr>
              <w:t>L</w:t>
            </w:r>
          </w:p>
        </w:tc>
        <w:tc>
          <w:tcPr>
            <w:cnfStyle w:val="000000100000"/>
            <w:tcW w:w="4678" w:type="dxa"/>
          </w:tcPr>
          <w:p w14:paraId="00000068">
            <w:pPr>
              <w:pStyle w:val="ListParagraph"/>
              <w:numPr>
                <w:ilvl w:val="0"/>
                <w:numId w:val="25"/>
              </w:numPr>
              <w:rPr>
                <w:rFonts w:ascii="Arial" w:cs="Arial" w:hAnsi="Arial"/>
                <w:sz w:val="20"/>
                <w:szCs w:val="20"/>
              </w:rPr>
            </w:pPr>
            <w:r>
              <w:rPr>
                <w:rFonts w:ascii="Arial" w:cs="Arial" w:hAnsi="Arial"/>
                <w:sz w:val="20"/>
                <w:szCs w:val="20"/>
              </w:rPr>
              <w:t xml:space="preserve">Documented procedures to deal with enquiries from the public. </w:t>
            </w:r>
          </w:p>
        </w:tc>
      </w:tr>
      <w:tr>
        <w:trPr/>
        <w:tc>
          <w:tcPr>
            <w:cnfStyle w:val="001000010000"/>
            <w:tcW w:w="3823" w:type="dxa"/>
          </w:tcPr>
          <w:p w14:paraId="00000069">
            <w:pPr>
              <w:rPr>
                <w:rFonts w:ascii="Arial" w:cs="Arial" w:hAnsi="Arial"/>
                <w:b/>
                <w:sz w:val="20"/>
                <w:szCs w:val="20"/>
              </w:rPr>
            </w:pPr>
            <w:r>
              <w:rPr>
                <w:rFonts w:ascii="Arial" w:cs="Arial" w:hAnsi="Arial"/>
                <w:b/>
                <w:sz w:val="20"/>
                <w:szCs w:val="20"/>
              </w:rPr>
              <w:t>Meeting the laid down timetables when responding to consultation invitation</w:t>
            </w:r>
          </w:p>
          <w:p w14:paraId="0000006A">
            <w:pPr>
              <w:rPr>
                <w:rFonts w:ascii="Arial" w:cs="Arial" w:hAnsi="Arial"/>
                <w:b/>
                <w:sz w:val="20"/>
                <w:szCs w:val="20"/>
              </w:rPr>
            </w:pPr>
          </w:p>
        </w:tc>
        <w:tc>
          <w:tcPr>
            <w:cnfStyle w:val="000000010000"/>
            <w:tcW w:w="992" w:type="dxa"/>
          </w:tcPr>
          <w:p w14:paraId="0000006B">
            <w:pPr>
              <w:pStyle w:val="ListParagraph"/>
              <w:ind w:left="360"/>
              <w:rPr>
                <w:rFonts w:ascii="Arial" w:cs="Arial" w:hAnsi="Arial"/>
                <w:sz w:val="20"/>
                <w:szCs w:val="20"/>
              </w:rPr>
            </w:pPr>
            <w:r>
              <w:rPr>
                <w:rFonts w:ascii="Arial" w:cs="Arial" w:hAnsi="Arial"/>
                <w:sz w:val="20"/>
                <w:szCs w:val="20"/>
              </w:rPr>
              <w:t>L</w:t>
            </w:r>
          </w:p>
        </w:tc>
        <w:tc>
          <w:tcPr>
            <w:cnfStyle w:val="000000010000"/>
            <w:tcW w:w="4678" w:type="dxa"/>
          </w:tcPr>
          <w:p w14:paraId="0000006C">
            <w:pPr>
              <w:pStyle w:val="ListParagraph"/>
              <w:numPr>
                <w:ilvl w:val="0"/>
                <w:numId w:val="25"/>
              </w:numPr>
              <w:rPr>
                <w:rFonts w:ascii="Arial" w:cs="Arial" w:hAnsi="Arial"/>
                <w:sz w:val="20"/>
                <w:szCs w:val="20"/>
              </w:rPr>
            </w:pPr>
            <w:r>
              <w:rPr>
                <w:rFonts w:ascii="Arial" w:cs="Arial" w:hAnsi="Arial"/>
                <w:sz w:val="20"/>
                <w:szCs w:val="20"/>
              </w:rPr>
              <w:t>Documented procedures to deal with responses to consultation requests.</w:t>
            </w:r>
          </w:p>
        </w:tc>
      </w:tr>
      <w:tr>
        <w:trPr/>
        <w:tc>
          <w:tcPr>
            <w:cnfStyle w:val="001000100000"/>
            <w:tcW w:w="3823" w:type="dxa"/>
          </w:tcPr>
          <w:p w14:paraId="0000006D">
            <w:pPr>
              <w:rPr>
                <w:rFonts w:ascii="Arial" w:cs="Arial" w:hAnsi="Arial"/>
                <w:b/>
                <w:sz w:val="20"/>
                <w:szCs w:val="20"/>
              </w:rPr>
            </w:pPr>
            <w:r>
              <w:rPr>
                <w:rFonts w:ascii="Arial" w:cs="Arial" w:hAnsi="Arial"/>
                <w:b/>
                <w:sz w:val="20"/>
                <w:szCs w:val="20"/>
              </w:rPr>
              <w:t>Proper document control</w:t>
            </w:r>
          </w:p>
        </w:tc>
        <w:tc>
          <w:tcPr>
            <w:cnfStyle w:val="000000100000"/>
            <w:tcW w:w="992" w:type="dxa"/>
          </w:tcPr>
          <w:p w14:paraId="0000006E">
            <w:pPr>
              <w:pStyle w:val="ListParagraph"/>
              <w:ind w:left="360"/>
              <w:rPr>
                <w:rFonts w:ascii="Arial" w:cs="Arial" w:hAnsi="Arial"/>
                <w:sz w:val="20"/>
                <w:szCs w:val="20"/>
              </w:rPr>
            </w:pPr>
            <w:r>
              <w:rPr>
                <w:rFonts w:ascii="Arial" w:cs="Arial" w:hAnsi="Arial"/>
                <w:sz w:val="20"/>
                <w:szCs w:val="20"/>
              </w:rPr>
              <w:t>L</w:t>
            </w:r>
          </w:p>
          <w:p w14:paraId="0000006F">
            <w:pPr>
              <w:rPr>
                <w:rFonts w:ascii="Arial" w:cs="Arial" w:hAnsi="Arial"/>
                <w:sz w:val="20"/>
                <w:szCs w:val="20"/>
              </w:rPr>
            </w:pPr>
          </w:p>
        </w:tc>
        <w:tc>
          <w:tcPr>
            <w:cnfStyle w:val="000000100000"/>
            <w:tcW w:w="4678" w:type="dxa"/>
          </w:tcPr>
          <w:p w14:paraId="00000070">
            <w:pPr>
              <w:pStyle w:val="ListParagraph"/>
              <w:numPr>
                <w:ilvl w:val="0"/>
                <w:numId w:val="25"/>
              </w:numPr>
              <w:rPr>
                <w:rFonts w:ascii="Arial" w:cs="Arial" w:hAnsi="Arial"/>
                <w:sz w:val="20"/>
                <w:szCs w:val="20"/>
              </w:rPr>
            </w:pPr>
            <w:r>
              <w:rPr>
                <w:rFonts w:ascii="Arial" w:cs="Arial" w:hAnsi="Arial"/>
                <w:sz w:val="20"/>
                <w:szCs w:val="20"/>
              </w:rPr>
              <w:t>Documented procedures for document receipt, circulation, response, handling and filing of documents.</w:t>
            </w:r>
          </w:p>
          <w:p w14:paraId="00000071">
            <w:pPr>
              <w:rPr>
                <w:rFonts w:ascii="Arial" w:cs="Arial" w:hAnsi="Arial"/>
                <w:sz w:val="20"/>
                <w:szCs w:val="20"/>
              </w:rPr>
            </w:pPr>
          </w:p>
        </w:tc>
      </w:tr>
      <w:tr>
        <w:trPr/>
        <w:tc>
          <w:tcPr>
            <w:cnfStyle w:val="001000010000"/>
            <w:tcW w:w="3823" w:type="dxa"/>
          </w:tcPr>
          <w:p w14:paraId="00000072">
            <w:pPr>
              <w:rPr>
                <w:rFonts w:ascii="Arial" w:cs="Arial" w:hAnsi="Arial"/>
                <w:b/>
                <w:sz w:val="20"/>
                <w:szCs w:val="20"/>
              </w:rPr>
            </w:pPr>
            <w:r>
              <w:rPr>
                <w:rFonts w:ascii="Arial" w:cs="Arial" w:hAnsi="Arial"/>
                <w:b/>
                <w:sz w:val="20"/>
                <w:szCs w:val="20"/>
              </w:rPr>
              <w:t>Register of member’s interest and gifts and hospitality</w:t>
            </w:r>
          </w:p>
        </w:tc>
        <w:tc>
          <w:tcPr>
            <w:cnfStyle w:val="000000010000"/>
            <w:tcW w:w="992" w:type="dxa"/>
          </w:tcPr>
          <w:p w14:paraId="00000073">
            <w:pPr>
              <w:pStyle w:val="ListParagraph"/>
              <w:ind w:left="360"/>
              <w:rPr>
                <w:rFonts w:ascii="Arial" w:cs="Arial" w:hAnsi="Arial"/>
                <w:sz w:val="20"/>
                <w:szCs w:val="20"/>
              </w:rPr>
            </w:pPr>
            <w:r>
              <w:rPr>
                <w:rFonts w:ascii="Arial" w:cs="Arial" w:hAnsi="Arial"/>
                <w:sz w:val="20"/>
                <w:szCs w:val="20"/>
              </w:rPr>
              <w:t>M</w:t>
            </w:r>
          </w:p>
        </w:tc>
        <w:tc>
          <w:tcPr>
            <w:cnfStyle w:val="000000010000"/>
            <w:tcW w:w="4678" w:type="dxa"/>
          </w:tcPr>
          <w:p w14:paraId="00000074">
            <w:pPr>
              <w:pStyle w:val="ListParagraph"/>
              <w:numPr>
                <w:ilvl w:val="0"/>
                <w:numId w:val="25"/>
              </w:numPr>
              <w:rPr>
                <w:rFonts w:ascii="Arial" w:cs="Arial" w:hAnsi="Arial"/>
                <w:sz w:val="20"/>
                <w:szCs w:val="20"/>
              </w:rPr>
            </w:pPr>
            <w:r>
              <w:rPr>
                <w:rFonts w:ascii="Arial" w:cs="Arial" w:hAnsi="Arial"/>
                <w:sz w:val="20"/>
                <w:szCs w:val="20"/>
              </w:rPr>
              <w:t>Procedures in place for recording and monitoring members interest and gifts and hospitality</w:t>
            </w:r>
            <w:r>
              <w:rPr>
                <w:rFonts w:ascii="Arial" w:cs="Arial" w:hAnsi="Arial"/>
                <w:sz w:val="20"/>
                <w:szCs w:val="20"/>
              </w:rPr>
              <w:t>.</w:t>
            </w:r>
          </w:p>
          <w:p w14:paraId="00000075">
            <w:pPr>
              <w:pStyle w:val="ListParagraph"/>
              <w:numPr>
                <w:ilvl w:val="0"/>
                <w:numId w:val="25"/>
              </w:numPr>
              <w:rPr>
                <w:rFonts w:ascii="Arial" w:cs="Arial" w:hAnsi="Arial"/>
                <w:sz w:val="20"/>
                <w:szCs w:val="20"/>
              </w:rPr>
            </w:pPr>
            <w:r>
              <w:rPr>
                <w:rFonts w:ascii="Arial" w:cs="Arial" w:hAnsi="Arial"/>
                <w:sz w:val="20"/>
                <w:szCs w:val="20"/>
              </w:rPr>
              <w:t xml:space="preserve">Adoption of codes of conduct for members and employees. </w:t>
            </w:r>
          </w:p>
          <w:p w14:paraId="00000076">
            <w:pPr>
              <w:rPr>
                <w:rFonts w:ascii="Arial" w:cs="Arial" w:hAnsi="Arial"/>
                <w:sz w:val="20"/>
                <w:szCs w:val="20"/>
              </w:rPr>
            </w:pPr>
          </w:p>
        </w:tc>
      </w:tr>
      <w:tr>
        <w:trPr/>
        <w:tc>
          <w:tcPr>
            <w:cnfStyle w:val="001000100000"/>
            <w:tcW w:w="3823" w:type="dxa"/>
          </w:tcPr>
          <w:p w14:paraId="00000077">
            <w:pPr>
              <w:rPr>
                <w:rFonts w:ascii="Arial" w:cs="Arial" w:hAnsi="Arial"/>
                <w:b/>
                <w:sz w:val="20"/>
                <w:szCs w:val="20"/>
              </w:rPr>
            </w:pPr>
            <w:r>
              <w:rPr>
                <w:rFonts w:ascii="Arial" w:cs="Arial" w:hAnsi="Arial"/>
                <w:b/>
                <w:sz w:val="20"/>
                <w:szCs w:val="20"/>
              </w:rPr>
              <w:t>Investment Income</w:t>
            </w:r>
          </w:p>
        </w:tc>
        <w:tc>
          <w:tcPr>
            <w:cnfStyle w:val="000000100000"/>
            <w:tcW w:w="992" w:type="dxa"/>
          </w:tcPr>
          <w:p w14:paraId="00000078">
            <w:pPr>
              <w:pStyle w:val="ListParagraph"/>
              <w:ind w:left="360"/>
              <w:rPr>
                <w:rFonts w:ascii="Arial" w:cs="Arial" w:hAnsi="Arial"/>
                <w:sz w:val="20"/>
                <w:szCs w:val="20"/>
              </w:rPr>
            </w:pPr>
            <w:r>
              <w:rPr>
                <w:rFonts w:ascii="Arial" w:cs="Arial" w:hAnsi="Arial"/>
                <w:sz w:val="20"/>
                <w:szCs w:val="20"/>
              </w:rPr>
              <w:t>L</w:t>
            </w:r>
          </w:p>
        </w:tc>
        <w:tc>
          <w:tcPr>
            <w:cnfStyle w:val="000000100000"/>
            <w:tcW w:w="4678" w:type="dxa"/>
          </w:tcPr>
          <w:p w14:paraId="00000079">
            <w:pPr>
              <w:pStyle w:val="ListParagraph"/>
              <w:numPr>
                <w:ilvl w:val="0"/>
                <w:numId w:val="26"/>
              </w:numPr>
              <w:rPr>
                <w:rFonts w:ascii="Arial" w:cs="Arial" w:hAnsi="Arial"/>
                <w:sz w:val="20"/>
                <w:szCs w:val="20"/>
              </w:rPr>
            </w:pPr>
            <w:r>
              <w:rPr>
                <w:rFonts w:ascii="Arial" w:cs="Arial" w:hAnsi="Arial"/>
                <w:sz w:val="20"/>
                <w:szCs w:val="20"/>
              </w:rPr>
              <w:t>Review level of Reserves and Bank Interest Rates.</w:t>
            </w:r>
          </w:p>
          <w:p w14:paraId="0000007A">
            <w:pPr>
              <w:rPr>
                <w:rFonts w:ascii="Arial" w:cs="Arial" w:hAnsi="Arial"/>
                <w:sz w:val="20"/>
                <w:szCs w:val="20"/>
              </w:rPr>
            </w:pPr>
          </w:p>
        </w:tc>
      </w:tr>
      <w:tr>
        <w:trPr/>
        <w:tc>
          <w:tcPr>
            <w:cnfStyle w:val="001000010000"/>
            <w:tcW w:w="3823" w:type="dxa"/>
          </w:tcPr>
          <w:p w14:paraId="0000007B">
            <w:pPr>
              <w:rPr>
                <w:rFonts w:ascii="Arial" w:cs="Arial" w:hAnsi="Arial"/>
                <w:b/>
                <w:sz w:val="20"/>
                <w:szCs w:val="20"/>
              </w:rPr>
            </w:pPr>
            <w:r>
              <w:rPr>
                <w:rFonts w:ascii="Arial" w:cs="Arial" w:hAnsi="Arial"/>
                <w:b/>
                <w:sz w:val="20"/>
                <w:szCs w:val="20"/>
              </w:rPr>
              <w:t>Location of meetings</w:t>
            </w:r>
          </w:p>
        </w:tc>
        <w:tc>
          <w:tcPr>
            <w:cnfStyle w:val="000000010000"/>
            <w:tcW w:w="992" w:type="dxa"/>
          </w:tcPr>
          <w:p w14:paraId="0000007C">
            <w:pPr>
              <w:pStyle w:val="ListParagraph"/>
              <w:ind w:left="360"/>
              <w:rPr>
                <w:rFonts w:ascii="Arial" w:cs="Arial" w:hAnsi="Arial"/>
                <w:sz w:val="20"/>
                <w:szCs w:val="20"/>
              </w:rPr>
            </w:pPr>
            <w:r>
              <w:rPr>
                <w:rFonts w:ascii="Arial" w:cs="Arial" w:hAnsi="Arial"/>
                <w:sz w:val="20"/>
                <w:szCs w:val="20"/>
              </w:rPr>
              <w:t>L</w:t>
            </w:r>
          </w:p>
        </w:tc>
        <w:tc>
          <w:tcPr>
            <w:cnfStyle w:val="000000010000"/>
            <w:tcW w:w="4678" w:type="dxa"/>
          </w:tcPr>
          <w:p w14:paraId="0000007D">
            <w:pPr>
              <w:pStyle w:val="ListParagraph"/>
              <w:numPr>
                <w:ilvl w:val="0"/>
                <w:numId w:val="26"/>
              </w:numPr>
              <w:rPr>
                <w:rFonts w:ascii="Arial" w:cs="Arial" w:hAnsi="Arial"/>
                <w:sz w:val="20"/>
                <w:szCs w:val="20"/>
              </w:rPr>
            </w:pPr>
            <w:r>
              <w:rPr>
                <w:rFonts w:ascii="Arial" w:cs="Arial" w:hAnsi="Arial"/>
                <w:sz w:val="20"/>
                <w:szCs w:val="20"/>
              </w:rPr>
              <w:t>Meetings are held at</w:t>
            </w:r>
            <w:r>
              <w:rPr>
                <w:rFonts w:ascii="Arial" w:cs="Arial" w:hAnsi="Arial"/>
                <w:sz w:val="20"/>
                <w:szCs w:val="20"/>
              </w:rPr>
              <w:t xml:space="preserve"> Middletown Village Hall and </w:t>
            </w:r>
            <w:r>
              <w:rPr>
                <w:rFonts w:ascii="Arial" w:cs="Arial" w:hAnsi="Arial"/>
                <w:sz w:val="20"/>
                <w:szCs w:val="20"/>
              </w:rPr>
              <w:t>Trewern</w:t>
            </w:r>
            <w:r>
              <w:rPr>
                <w:rFonts w:ascii="Arial" w:cs="Arial" w:hAnsi="Arial"/>
                <w:sz w:val="20"/>
                <w:szCs w:val="20"/>
              </w:rPr>
              <w:t xml:space="preserve"> Community Centre alternately – </w:t>
            </w:r>
            <w:r>
              <w:rPr>
                <w:rFonts w:ascii="Arial" w:cs="Arial" w:hAnsi="Arial"/>
                <w:sz w:val="20"/>
                <w:szCs w:val="20"/>
              </w:rPr>
              <w:t>which have disability access. The premises and facilities are considered to be adequate for the Clerk, Councillors and members of the public who attend.</w:t>
            </w:r>
          </w:p>
          <w:p w14:paraId="0000007E">
            <w:pPr>
              <w:rPr>
                <w:rFonts w:ascii="Arial" w:cs="Arial" w:hAnsi="Arial"/>
                <w:sz w:val="20"/>
                <w:szCs w:val="20"/>
              </w:rPr>
            </w:pPr>
          </w:p>
        </w:tc>
      </w:tr>
      <w:tr>
        <w:trPr/>
        <w:tc>
          <w:tcPr>
            <w:cnfStyle w:val="001000100000"/>
            <w:tcW w:w="3823" w:type="dxa"/>
          </w:tcPr>
          <w:p w14:paraId="0000007F">
            <w:pPr>
              <w:rPr>
                <w:rFonts w:ascii="Arial" w:cs="Arial" w:hAnsi="Arial"/>
                <w:b/>
                <w:sz w:val="20"/>
                <w:szCs w:val="20"/>
              </w:rPr>
            </w:pPr>
            <w:r>
              <w:rPr>
                <w:rFonts w:ascii="Arial" w:cs="Arial" w:hAnsi="Arial"/>
                <w:b/>
                <w:sz w:val="20"/>
                <w:szCs w:val="20"/>
              </w:rPr>
              <w:t>Business Continuity</w:t>
            </w:r>
          </w:p>
        </w:tc>
        <w:tc>
          <w:tcPr>
            <w:cnfStyle w:val="000000100000"/>
            <w:tcW w:w="992" w:type="dxa"/>
          </w:tcPr>
          <w:p w14:paraId="00000080">
            <w:pPr>
              <w:pStyle w:val="ListParagraph"/>
              <w:ind w:left="360"/>
              <w:rPr>
                <w:rFonts w:ascii="Arial" w:cs="Arial" w:hAnsi="Arial"/>
                <w:sz w:val="20"/>
                <w:szCs w:val="20"/>
              </w:rPr>
            </w:pPr>
            <w:r>
              <w:rPr>
                <w:rFonts w:ascii="Arial" w:cs="Arial" w:hAnsi="Arial"/>
                <w:sz w:val="20"/>
                <w:szCs w:val="20"/>
              </w:rPr>
              <w:t>L</w:t>
            </w:r>
          </w:p>
        </w:tc>
        <w:tc>
          <w:tcPr>
            <w:cnfStyle w:val="000000100000"/>
            <w:tcW w:w="4678" w:type="dxa"/>
          </w:tcPr>
          <w:p w14:paraId="00000081">
            <w:pPr>
              <w:pStyle w:val="ListParagraph"/>
              <w:numPr>
                <w:ilvl w:val="0"/>
                <w:numId w:val="26"/>
              </w:numPr>
              <w:rPr>
                <w:rFonts w:ascii="Arial" w:cs="Arial" w:hAnsi="Arial"/>
                <w:sz w:val="20"/>
                <w:szCs w:val="20"/>
              </w:rPr>
            </w:pPr>
            <w:r>
              <w:rPr>
                <w:rFonts w:ascii="Arial" w:cs="Arial" w:hAnsi="Arial"/>
                <w:sz w:val="20"/>
                <w:szCs w:val="20"/>
              </w:rPr>
              <w:t xml:space="preserve">In the event of the </w:t>
            </w:r>
            <w:r>
              <w:rPr>
                <w:rFonts w:ascii="Arial" w:cs="Arial" w:hAnsi="Arial"/>
                <w:sz w:val="20"/>
                <w:szCs w:val="20"/>
              </w:rPr>
              <w:t>RFO</w:t>
            </w:r>
            <w:r>
              <w:rPr>
                <w:rFonts w:ascii="Arial" w:cs="Arial" w:hAnsi="Arial"/>
                <w:sz w:val="20"/>
                <w:szCs w:val="20"/>
              </w:rPr>
              <w:t xml:space="preserve"> being </w:t>
            </w:r>
            <w:r>
              <w:rPr>
                <w:rFonts w:ascii="Arial" w:cs="Arial" w:hAnsi="Arial"/>
                <w:sz w:val="20"/>
                <w:szCs w:val="20"/>
              </w:rPr>
              <w:t>unavailable</w:t>
            </w:r>
            <w:r>
              <w:rPr>
                <w:rFonts w:ascii="Arial" w:cs="Arial" w:hAnsi="Arial"/>
                <w:sz w:val="20"/>
                <w:szCs w:val="20"/>
              </w:rPr>
              <w:t>,</w:t>
            </w:r>
            <w:r>
              <w:rPr>
                <w:rFonts w:ascii="Arial" w:cs="Arial" w:hAnsi="Arial"/>
                <w:sz w:val="20"/>
                <w:szCs w:val="20"/>
              </w:rPr>
              <w:t xml:space="preserve"> the </w:t>
            </w:r>
            <w:r>
              <w:rPr>
                <w:rFonts w:ascii="Arial" w:cs="Arial" w:hAnsi="Arial"/>
                <w:sz w:val="20"/>
                <w:szCs w:val="20"/>
              </w:rPr>
              <w:t xml:space="preserve">Chairperson is to contact One Voice Wales for advice. </w:t>
            </w:r>
            <w:r>
              <w:rPr>
                <w:rFonts w:ascii="Arial" w:cs="Arial" w:hAnsi="Arial"/>
                <w:sz w:val="20"/>
                <w:szCs w:val="20"/>
              </w:rPr>
              <w:t>RFO</w:t>
            </w:r>
            <w:r>
              <w:rPr>
                <w:rFonts w:ascii="Arial" w:cs="Arial" w:hAnsi="Arial"/>
                <w:sz w:val="20"/>
                <w:szCs w:val="20"/>
              </w:rPr>
              <w:t xml:space="preserve"> to ensure that records are up to date and available if cover</w:t>
            </w:r>
            <w:r>
              <w:rPr>
                <w:rFonts w:ascii="Arial" w:cs="Arial" w:hAnsi="Arial"/>
                <w:sz w:val="20"/>
                <w:szCs w:val="20"/>
              </w:rPr>
              <w:t xml:space="preserve"> is</w:t>
            </w:r>
            <w:r>
              <w:rPr>
                <w:rFonts w:ascii="Arial" w:cs="Arial" w:hAnsi="Arial"/>
                <w:sz w:val="20"/>
                <w:szCs w:val="20"/>
              </w:rPr>
              <w:t xml:space="preserve"> needed. </w:t>
            </w:r>
          </w:p>
          <w:p w14:paraId="00000082">
            <w:pPr>
              <w:pStyle w:val="ListParagraph"/>
              <w:ind w:left="360"/>
              <w:rPr>
                <w:rFonts w:ascii="Arial" w:cs="Arial" w:hAnsi="Arial"/>
                <w:sz w:val="20"/>
                <w:szCs w:val="20"/>
              </w:rPr>
            </w:pPr>
          </w:p>
        </w:tc>
      </w:tr>
      <w:tr>
        <w:trPr/>
        <w:tc>
          <w:tcPr>
            <w:cnfStyle w:val="001000010000"/>
            <w:tcW w:w="3823" w:type="dxa"/>
          </w:tcPr>
          <w:p w14:paraId="00000083">
            <w:pPr>
              <w:rPr>
                <w:rFonts w:ascii="Arial" w:cs="Arial" w:hAnsi="Arial"/>
                <w:b/>
                <w:sz w:val="20"/>
                <w:szCs w:val="20"/>
              </w:rPr>
            </w:pPr>
            <w:r>
              <w:rPr>
                <w:rFonts w:ascii="Arial" w:cs="Arial" w:hAnsi="Arial"/>
                <w:b/>
                <w:sz w:val="20"/>
                <w:szCs w:val="20"/>
              </w:rPr>
              <w:t xml:space="preserve">Council Records </w:t>
            </w:r>
          </w:p>
        </w:tc>
        <w:tc>
          <w:tcPr>
            <w:cnfStyle w:val="000000010000"/>
            <w:tcW w:w="992" w:type="dxa"/>
          </w:tcPr>
          <w:p w14:paraId="00000084">
            <w:pPr>
              <w:pStyle w:val="ListParagraph"/>
              <w:ind w:left="360"/>
              <w:rPr>
                <w:rFonts w:ascii="Arial" w:cs="Arial" w:hAnsi="Arial"/>
                <w:sz w:val="20"/>
                <w:szCs w:val="20"/>
              </w:rPr>
            </w:pPr>
            <w:r>
              <w:rPr>
                <w:rFonts w:ascii="Arial" w:cs="Arial" w:hAnsi="Arial"/>
                <w:sz w:val="20"/>
                <w:szCs w:val="20"/>
              </w:rPr>
              <w:t>L</w:t>
            </w:r>
          </w:p>
        </w:tc>
        <w:tc>
          <w:tcPr>
            <w:cnfStyle w:val="000000010000"/>
            <w:tcW w:w="4678" w:type="dxa"/>
          </w:tcPr>
          <w:p w14:paraId="00000085">
            <w:pPr>
              <w:pStyle w:val="ListParagraph"/>
              <w:numPr>
                <w:ilvl w:val="0"/>
                <w:numId w:val="26"/>
              </w:numPr>
              <w:rPr>
                <w:rFonts w:ascii="Arial" w:cs="Arial" w:hAnsi="Arial"/>
                <w:sz w:val="20"/>
                <w:szCs w:val="20"/>
              </w:rPr>
            </w:pPr>
            <w:r>
              <w:rPr>
                <w:rFonts w:ascii="Arial" w:cs="Arial" w:hAnsi="Arial"/>
                <w:sz w:val="20"/>
                <w:szCs w:val="20"/>
              </w:rPr>
              <w:t>Any p</w:t>
            </w:r>
            <w:r>
              <w:rPr>
                <w:rFonts w:ascii="Arial" w:cs="Arial" w:hAnsi="Arial"/>
                <w:sz w:val="20"/>
                <w:szCs w:val="20"/>
              </w:rPr>
              <w:t xml:space="preserve">apers </w:t>
            </w:r>
            <w:r>
              <w:rPr>
                <w:rFonts w:ascii="Arial" w:cs="Arial" w:hAnsi="Arial"/>
                <w:sz w:val="20"/>
                <w:szCs w:val="20"/>
              </w:rPr>
              <w:t xml:space="preserve">that are </w:t>
            </w:r>
            <w:r>
              <w:rPr>
                <w:rFonts w:ascii="Arial" w:cs="Arial" w:hAnsi="Arial"/>
                <w:sz w:val="20"/>
                <w:szCs w:val="20"/>
              </w:rPr>
              <w:t xml:space="preserve">required to be kept for more than three years </w:t>
            </w:r>
            <w:r>
              <w:rPr>
                <w:rFonts w:ascii="Arial" w:cs="Arial" w:hAnsi="Arial"/>
                <w:sz w:val="20"/>
                <w:szCs w:val="20"/>
              </w:rPr>
              <w:t>and p</w:t>
            </w:r>
            <w:r>
              <w:rPr>
                <w:rFonts w:ascii="Arial" w:cs="Arial" w:hAnsi="Arial"/>
                <w:sz w:val="20"/>
                <w:szCs w:val="20"/>
              </w:rPr>
              <w:t>apers less than three years old</w:t>
            </w:r>
            <w:r>
              <w:rPr>
                <w:rFonts w:ascii="Arial" w:cs="Arial" w:hAnsi="Arial"/>
                <w:sz w:val="20"/>
                <w:szCs w:val="20"/>
              </w:rPr>
              <w:t xml:space="preserve">, </w:t>
            </w:r>
            <w:r>
              <w:rPr>
                <w:rFonts w:ascii="Arial" w:cs="Arial" w:hAnsi="Arial"/>
                <w:sz w:val="20"/>
                <w:szCs w:val="20"/>
              </w:rPr>
              <w:t>minute</w:t>
            </w:r>
            <w:r>
              <w:rPr>
                <w:rFonts w:ascii="Arial" w:cs="Arial" w:hAnsi="Arial"/>
                <w:sz w:val="20"/>
                <w:szCs w:val="20"/>
              </w:rPr>
              <w:t>s</w:t>
            </w:r>
            <w:r>
              <w:rPr>
                <w:rFonts w:ascii="Arial" w:cs="Arial" w:hAnsi="Arial"/>
                <w:sz w:val="20"/>
                <w:szCs w:val="20"/>
              </w:rPr>
              <w:t xml:space="preserve"> and finance books which are still being used are stored at the home of the </w:t>
            </w:r>
            <w:r>
              <w:rPr>
                <w:rFonts w:ascii="Arial" w:cs="Arial" w:hAnsi="Arial"/>
                <w:sz w:val="20"/>
                <w:szCs w:val="20"/>
              </w:rPr>
              <w:t>RFO</w:t>
            </w:r>
            <w:r>
              <w:rPr>
                <w:rFonts w:ascii="Arial" w:cs="Arial" w:hAnsi="Arial"/>
                <w:sz w:val="20"/>
                <w:szCs w:val="20"/>
              </w:rPr>
              <w:t>.</w:t>
            </w:r>
          </w:p>
          <w:p w14:paraId="00000086">
            <w:pPr>
              <w:pStyle w:val="ListParagraph"/>
              <w:ind w:left="360"/>
              <w:rPr>
                <w:rFonts w:ascii="Arial" w:cs="Arial" w:hAnsi="Arial"/>
                <w:sz w:val="20"/>
                <w:szCs w:val="20"/>
              </w:rPr>
            </w:pPr>
          </w:p>
        </w:tc>
      </w:tr>
      <w:tr>
        <w:trPr/>
        <w:tc>
          <w:tcPr>
            <w:cnfStyle w:val="001000100000"/>
            <w:tcW w:w="3823" w:type="dxa"/>
          </w:tcPr>
          <w:p w14:paraId="00000087">
            <w:pPr>
              <w:rPr>
                <w:rFonts w:ascii="Arial" w:cs="Arial" w:hAnsi="Arial"/>
                <w:b/>
                <w:sz w:val="20"/>
                <w:szCs w:val="20"/>
              </w:rPr>
            </w:pPr>
            <w:r>
              <w:rPr>
                <w:rFonts w:ascii="Arial" w:cs="Arial" w:hAnsi="Arial"/>
                <w:b/>
                <w:sz w:val="20"/>
                <w:szCs w:val="20"/>
              </w:rPr>
              <w:t>Council Records (electronic)</w:t>
            </w:r>
          </w:p>
        </w:tc>
        <w:tc>
          <w:tcPr>
            <w:cnfStyle w:val="000000100000"/>
            <w:tcW w:w="992" w:type="dxa"/>
          </w:tcPr>
          <w:p w14:paraId="00000088">
            <w:pPr>
              <w:pStyle w:val="ListParagraph"/>
              <w:ind w:left="360"/>
              <w:rPr>
                <w:rFonts w:ascii="Arial" w:cs="Arial" w:hAnsi="Arial"/>
                <w:sz w:val="20"/>
                <w:szCs w:val="20"/>
              </w:rPr>
            </w:pPr>
            <w:r>
              <w:rPr>
                <w:rFonts w:ascii="Arial" w:cs="Arial" w:hAnsi="Arial"/>
                <w:sz w:val="20"/>
                <w:szCs w:val="20"/>
              </w:rPr>
              <w:t>M</w:t>
            </w:r>
          </w:p>
        </w:tc>
        <w:tc>
          <w:tcPr>
            <w:cnfStyle w:val="000000100000"/>
            <w:tcW w:w="4678" w:type="dxa"/>
          </w:tcPr>
          <w:p w14:paraId="00000089">
            <w:pPr>
              <w:pStyle w:val="ListParagraph"/>
              <w:numPr>
                <w:ilvl w:val="0"/>
                <w:numId w:val="26"/>
              </w:numPr>
              <w:rPr>
                <w:rFonts w:ascii="Arial" w:cs="Arial" w:hAnsi="Arial"/>
                <w:sz w:val="20"/>
                <w:szCs w:val="20"/>
              </w:rPr>
            </w:pPr>
            <w:r>
              <w:rPr>
                <w:rFonts w:ascii="Arial" w:cs="Arial" w:hAnsi="Arial"/>
                <w:sz w:val="20"/>
                <w:szCs w:val="20"/>
              </w:rPr>
              <w:t xml:space="preserve">The Council’s electronic records are stored on the </w:t>
            </w:r>
            <w:r>
              <w:rPr>
                <w:rFonts w:ascii="Arial" w:cs="Arial" w:hAnsi="Arial"/>
                <w:sz w:val="20"/>
                <w:szCs w:val="20"/>
              </w:rPr>
              <w:t>RFO</w:t>
            </w:r>
            <w:r>
              <w:rPr>
                <w:rFonts w:ascii="Arial" w:cs="Arial" w:hAnsi="Arial"/>
                <w:sz w:val="20"/>
                <w:szCs w:val="20"/>
              </w:rPr>
              <w:t xml:space="preserve">’s computer. Back-ups of the files are taken at monthly intervals and stored </w:t>
            </w:r>
            <w:r>
              <w:rPr>
                <w:rFonts w:ascii="Arial" w:cs="Arial" w:hAnsi="Arial"/>
                <w:sz w:val="20"/>
                <w:szCs w:val="20"/>
              </w:rPr>
              <w:t>in Dropbox.</w:t>
            </w:r>
            <w:r>
              <w:rPr>
                <w:rFonts w:ascii="Arial" w:cs="Arial" w:hAnsi="Arial"/>
                <w:sz w:val="20"/>
                <w:szCs w:val="20"/>
              </w:rPr>
              <w:t xml:space="preserve"> The </w:t>
            </w:r>
            <w:r>
              <w:rPr>
                <w:rFonts w:ascii="Arial" w:cs="Arial" w:hAnsi="Arial"/>
                <w:sz w:val="20"/>
                <w:szCs w:val="20"/>
              </w:rPr>
              <w:t>RFO</w:t>
            </w:r>
            <w:r>
              <w:rPr>
                <w:rFonts w:ascii="Arial" w:cs="Arial" w:hAnsi="Arial"/>
                <w:sz w:val="20"/>
                <w:szCs w:val="20"/>
              </w:rPr>
              <w:t xml:space="preserve">’s computer is protected by </w:t>
            </w:r>
            <w:r>
              <w:rPr>
                <w:rFonts w:ascii="Arial" w:cs="Arial" w:hAnsi="Arial"/>
                <w:sz w:val="20"/>
                <w:szCs w:val="20"/>
              </w:rPr>
              <w:t>McAfee</w:t>
            </w:r>
            <w:r>
              <w:rPr>
                <w:rFonts w:ascii="Arial" w:cs="Arial" w:hAnsi="Arial"/>
                <w:sz w:val="20"/>
                <w:szCs w:val="20"/>
              </w:rPr>
              <w:t xml:space="preserve"> Anti-Virus software.</w:t>
            </w:r>
          </w:p>
          <w:p w14:paraId="0000008A">
            <w:pPr>
              <w:pStyle w:val="ListParagraph"/>
              <w:ind w:left="360"/>
              <w:rPr>
                <w:rFonts w:ascii="Arial" w:cs="Arial" w:hAnsi="Arial"/>
                <w:sz w:val="20"/>
                <w:szCs w:val="20"/>
              </w:rPr>
            </w:pPr>
          </w:p>
        </w:tc>
      </w:tr>
      <w:tr>
        <w:trPr/>
        <w:tc>
          <w:tcPr>
            <w:cnfStyle w:val="001000010000"/>
            <w:tcW w:w="3823" w:type="dxa"/>
          </w:tcPr>
          <w:p w14:paraId="0000008B">
            <w:pPr>
              <w:rPr>
                <w:rFonts w:ascii="Arial" w:cs="Arial" w:hAnsi="Arial"/>
                <w:b/>
                <w:sz w:val="20"/>
                <w:szCs w:val="20"/>
              </w:rPr>
            </w:pPr>
            <w:r>
              <w:rPr>
                <w:rFonts w:ascii="Arial" w:cs="Arial" w:hAnsi="Arial"/>
                <w:b/>
                <w:sz w:val="20"/>
                <w:szCs w:val="20"/>
              </w:rPr>
              <w:t xml:space="preserve">Insurance </w:t>
            </w:r>
          </w:p>
        </w:tc>
        <w:tc>
          <w:tcPr>
            <w:cnfStyle w:val="000000010000"/>
            <w:tcW w:w="992" w:type="dxa"/>
          </w:tcPr>
          <w:p w14:paraId="0000008C">
            <w:pPr>
              <w:pStyle w:val="ListParagraph"/>
              <w:ind w:left="360"/>
              <w:rPr>
                <w:rFonts w:ascii="Arial" w:cs="Arial" w:hAnsi="Arial"/>
                <w:sz w:val="20"/>
                <w:szCs w:val="20"/>
              </w:rPr>
            </w:pPr>
            <w:r>
              <w:rPr>
                <w:rFonts w:ascii="Arial" w:cs="Arial" w:hAnsi="Arial"/>
                <w:sz w:val="20"/>
                <w:szCs w:val="20"/>
              </w:rPr>
              <w:t>L</w:t>
            </w:r>
          </w:p>
        </w:tc>
        <w:tc>
          <w:tcPr>
            <w:cnfStyle w:val="000000010000"/>
            <w:tcW w:w="4678" w:type="dxa"/>
          </w:tcPr>
          <w:p w14:paraId="0000008D">
            <w:pPr>
              <w:pStyle w:val="ListParagraph"/>
              <w:numPr>
                <w:ilvl w:val="0"/>
                <w:numId w:val="26"/>
              </w:numPr>
              <w:rPr>
                <w:rFonts w:ascii="Arial" w:cs="Arial" w:hAnsi="Arial"/>
                <w:sz w:val="20"/>
                <w:szCs w:val="20"/>
              </w:rPr>
            </w:pPr>
            <w:r>
              <w:rPr>
                <w:rFonts w:ascii="Arial" w:cs="Arial" w:hAnsi="Arial"/>
                <w:sz w:val="20"/>
                <w:szCs w:val="20"/>
              </w:rPr>
              <w:t xml:space="preserve">An annual review is undertaken of all insurance arrangements in place. Employers Liability, Public Liability and Fidelity Guarantee are a statutory requirement.  </w:t>
            </w:r>
          </w:p>
          <w:p w14:paraId="0000008E">
            <w:pPr>
              <w:pStyle w:val="ListParagraph"/>
              <w:ind w:left="360"/>
              <w:rPr>
                <w:rFonts w:ascii="Arial" w:cs="Arial" w:hAnsi="Arial"/>
                <w:sz w:val="20"/>
                <w:szCs w:val="20"/>
              </w:rPr>
            </w:pPr>
          </w:p>
        </w:tc>
      </w:tr>
      <w:tr>
        <w:trPr/>
        <w:tc>
          <w:tcPr>
            <w:cnfStyle w:val="001000100000"/>
            <w:tcW w:w="3823" w:type="dxa"/>
          </w:tcPr>
          <w:p w14:paraId="0000008F">
            <w:pPr>
              <w:rPr>
                <w:rFonts w:ascii="Arial" w:cs="Arial" w:hAnsi="Arial"/>
                <w:b/>
                <w:sz w:val="20"/>
                <w:szCs w:val="20"/>
              </w:rPr>
            </w:pPr>
            <w:r>
              <w:rPr>
                <w:rFonts w:ascii="Arial" w:cs="Arial" w:hAnsi="Arial"/>
                <w:b/>
                <w:sz w:val="20"/>
                <w:szCs w:val="20"/>
              </w:rPr>
              <w:t>Clerk</w:t>
            </w:r>
          </w:p>
        </w:tc>
        <w:tc>
          <w:tcPr>
            <w:cnfStyle w:val="000000100000"/>
            <w:tcW w:w="992" w:type="dxa"/>
          </w:tcPr>
          <w:p w14:paraId="00000090">
            <w:pPr>
              <w:pStyle w:val="ListParagraph"/>
              <w:ind w:left="360"/>
              <w:rPr>
                <w:rFonts w:ascii="Arial" w:cs="Arial" w:hAnsi="Arial"/>
                <w:sz w:val="20"/>
                <w:szCs w:val="20"/>
              </w:rPr>
            </w:pPr>
            <w:r>
              <w:rPr>
                <w:rFonts w:ascii="Arial" w:cs="Arial" w:hAnsi="Arial"/>
                <w:sz w:val="20"/>
                <w:szCs w:val="20"/>
              </w:rPr>
              <w:t>L</w:t>
            </w:r>
          </w:p>
        </w:tc>
        <w:tc>
          <w:tcPr>
            <w:cnfStyle w:val="000000100000"/>
            <w:tcW w:w="4678" w:type="dxa"/>
          </w:tcPr>
          <w:p w14:paraId="00000091">
            <w:pPr>
              <w:pStyle w:val="ListParagraph"/>
              <w:numPr>
                <w:ilvl w:val="0"/>
                <w:numId w:val="26"/>
              </w:numPr>
              <w:rPr>
                <w:rFonts w:ascii="Arial" w:cs="Arial" w:hAnsi="Arial"/>
                <w:sz w:val="20"/>
                <w:szCs w:val="20"/>
              </w:rPr>
            </w:pPr>
            <w:r>
              <w:rPr>
                <w:rFonts w:ascii="Arial" w:cs="Arial" w:hAnsi="Arial"/>
                <w:sz w:val="20"/>
                <w:szCs w:val="20"/>
              </w:rPr>
              <w:t xml:space="preserve">A contingency fund has been established to cover recruitment, additional subscription costs and training for an unqualified </w:t>
            </w:r>
            <w:r>
              <w:rPr>
                <w:rFonts w:ascii="Arial" w:cs="Arial" w:hAnsi="Arial"/>
                <w:sz w:val="20"/>
                <w:szCs w:val="20"/>
              </w:rPr>
              <w:t>Clerk</w:t>
            </w:r>
            <w:r>
              <w:rPr>
                <w:rFonts w:ascii="Arial" w:cs="Arial" w:hAnsi="Arial"/>
                <w:sz w:val="20"/>
                <w:szCs w:val="20"/>
              </w:rPr>
              <w:t>.  The requirements of Fidelity Guarantee insurance must be adhered to. The</w:t>
            </w:r>
            <w:r>
              <w:rPr>
                <w:rFonts w:ascii="Arial" w:cs="Arial" w:hAnsi="Arial"/>
                <w:sz w:val="20"/>
                <w:szCs w:val="20"/>
              </w:rPr>
              <w:t xml:space="preserve"> Chair</w:t>
            </w:r>
            <w:r>
              <w:rPr>
                <w:rFonts w:ascii="Arial" w:cs="Arial" w:hAnsi="Arial"/>
                <w:sz w:val="20"/>
                <w:szCs w:val="20"/>
              </w:rPr>
              <w:t>person</w:t>
            </w:r>
            <w:r>
              <w:rPr>
                <w:rFonts w:ascii="Arial" w:cs="Arial" w:hAnsi="Arial"/>
                <w:sz w:val="20"/>
                <w:szCs w:val="20"/>
              </w:rPr>
              <w:t xml:space="preserve"> reviews</w:t>
            </w:r>
            <w:r>
              <w:rPr>
                <w:rFonts w:ascii="Arial" w:cs="Arial" w:hAnsi="Arial"/>
                <w:sz w:val="20"/>
                <w:szCs w:val="20"/>
              </w:rPr>
              <w:t xml:space="preserve"> and checks of invoices </w:t>
            </w:r>
            <w:r>
              <w:rPr>
                <w:rFonts w:ascii="Arial" w:cs="Arial" w:hAnsi="Arial"/>
                <w:sz w:val="20"/>
                <w:szCs w:val="20"/>
              </w:rPr>
              <w:t>before</w:t>
            </w:r>
            <w:r>
              <w:rPr>
                <w:rFonts w:ascii="Arial" w:cs="Arial" w:hAnsi="Arial"/>
                <w:sz w:val="20"/>
                <w:szCs w:val="20"/>
              </w:rPr>
              <w:t xml:space="preserve"> monthly meetings. Clerk should be provided with relevant training, reference books, access to assistance and legal advice.  Clerk to be aware of the publication of new editions of reference books.</w:t>
            </w:r>
          </w:p>
          <w:p w14:paraId="00000092">
            <w:pPr>
              <w:pStyle w:val="ListParagraph"/>
              <w:ind w:left="360"/>
              <w:rPr>
                <w:rFonts w:ascii="Arial" w:cs="Arial" w:hAnsi="Arial"/>
                <w:sz w:val="20"/>
                <w:szCs w:val="20"/>
              </w:rPr>
            </w:pPr>
          </w:p>
        </w:tc>
      </w:tr>
      <w:tr>
        <w:trPr/>
        <w:tc>
          <w:tcPr>
            <w:cnfStyle w:val="001000010000"/>
            <w:tcW w:w="3823" w:type="dxa"/>
          </w:tcPr>
          <w:p w14:paraId="00000093">
            <w:pPr>
              <w:rPr>
                <w:rFonts w:ascii="Arial" w:cs="Arial" w:hAnsi="Arial"/>
                <w:b/>
                <w:sz w:val="20"/>
                <w:szCs w:val="20"/>
              </w:rPr>
            </w:pPr>
            <w:r>
              <w:rPr>
                <w:rFonts w:ascii="Arial" w:cs="Arial" w:hAnsi="Arial"/>
                <w:b/>
                <w:sz w:val="20"/>
                <w:szCs w:val="20"/>
              </w:rPr>
              <w:t>Annual Return</w:t>
            </w:r>
          </w:p>
        </w:tc>
        <w:tc>
          <w:tcPr>
            <w:cnfStyle w:val="000000010000"/>
            <w:tcW w:w="992" w:type="dxa"/>
          </w:tcPr>
          <w:p w14:paraId="00000094">
            <w:pPr>
              <w:pStyle w:val="ListParagraph"/>
              <w:ind w:left="360"/>
              <w:rPr>
                <w:rFonts w:ascii="Arial" w:cs="Arial" w:hAnsi="Arial"/>
                <w:sz w:val="20"/>
                <w:szCs w:val="20"/>
              </w:rPr>
            </w:pPr>
            <w:r>
              <w:rPr>
                <w:rFonts w:ascii="Arial" w:cs="Arial" w:hAnsi="Arial"/>
                <w:sz w:val="20"/>
                <w:szCs w:val="20"/>
              </w:rPr>
              <w:t>L</w:t>
            </w:r>
          </w:p>
        </w:tc>
        <w:tc>
          <w:tcPr>
            <w:cnfStyle w:val="000000010000"/>
            <w:tcW w:w="4678" w:type="dxa"/>
          </w:tcPr>
          <w:p w14:paraId="00000095">
            <w:pPr>
              <w:pStyle w:val="ListParagraph"/>
              <w:numPr>
                <w:ilvl w:val="0"/>
                <w:numId w:val="26"/>
              </w:numPr>
              <w:rPr>
                <w:rFonts w:ascii="Arial" w:cs="Arial" w:hAnsi="Arial"/>
                <w:sz w:val="20"/>
                <w:szCs w:val="20"/>
              </w:rPr>
            </w:pPr>
            <w:r>
              <w:rPr>
                <w:rFonts w:ascii="Arial" w:cs="Arial" w:hAnsi="Arial"/>
                <w:sz w:val="20"/>
                <w:szCs w:val="20"/>
              </w:rPr>
              <w:t>Annual return is completed and signed by the Council, submitted to the Internal Auditor for completion and signing, then checked and sent on to the External Auditor within the time limit.</w:t>
            </w:r>
          </w:p>
          <w:p w14:paraId="00000096">
            <w:pPr>
              <w:pStyle w:val="ListParagraph"/>
              <w:ind w:left="360"/>
              <w:rPr>
                <w:rFonts w:ascii="Arial" w:cs="Arial" w:hAnsi="Arial"/>
                <w:sz w:val="20"/>
                <w:szCs w:val="20"/>
              </w:rPr>
            </w:pPr>
          </w:p>
        </w:tc>
      </w:tr>
    </w:tbl>
    <w:p w14:paraId="00000097">
      <w:pPr>
        <w:rPr>
          <w:rFonts w:ascii="Arial" w:cs="Arial" w:hAnsi="Arial"/>
        </w:rPr>
      </w:pPr>
    </w:p>
    <w:p w14:paraId="00000098">
      <w:pPr>
        <w:rPr>
          <w:rFonts w:ascii="Arial" w:cs="Arial" w:hAnsi="Arial"/>
        </w:rPr>
      </w:pPr>
    </w:p>
    <w:p w14:paraId="00000099">
      <w:pPr>
        <w:rPr>
          <w:rFonts w:ascii="Arial" w:cs="Arial" w:hAnsi="Arial"/>
        </w:rPr>
      </w:pPr>
    </w:p>
    <w:p w14:paraId="0000009A">
      <w:pPr>
        <w:rPr>
          <w:rFonts w:ascii="Arial" w:cs="Arial" w:hAnsi="Arial"/>
        </w:rPr>
      </w:pPr>
    </w:p>
    <w:p w14:paraId="0000009B">
      <w:pPr>
        <w:rPr>
          <w:rFonts w:ascii="Arial" w:cs="Arial" w:hAnsi="Arial"/>
        </w:rPr>
      </w:pPr>
    </w:p>
    <w:p w14:paraId="0000009C">
      <w:pPr>
        <w:rPr>
          <w:rFonts w:ascii="Arial" w:cs="Arial" w:hAnsi="Arial"/>
        </w:rPr>
      </w:pPr>
    </w:p>
    <w:p w14:paraId="0000009D">
      <w:pPr>
        <w:rPr>
          <w:rFonts w:ascii="Arial" w:cs="Arial" w:hAnsi="Arial"/>
        </w:rPr>
      </w:pPr>
    </w:p>
    <w:p w14:paraId="0000009E">
      <w:pPr>
        <w:rPr>
          <w:rFonts w:ascii="Arial" w:cs="Arial" w:hAnsi="Arial"/>
        </w:rPr>
      </w:pPr>
    </w:p>
    <w:p w14:paraId="0000009F">
      <w:pPr>
        <w:rPr>
          <w:rFonts w:ascii="Arial" w:cs="Arial" w:hAnsi="Arial"/>
        </w:rPr>
      </w:pPr>
    </w:p>
    <w:p w14:paraId="000000A0">
      <w:pPr>
        <w:rPr>
          <w:rFonts w:ascii="Arial" w:cs="Arial" w:hAnsi="Arial"/>
        </w:rPr>
      </w:pPr>
    </w:p>
    <w:p w14:paraId="000000A1">
      <w:pPr>
        <w:rPr>
          <w:rFonts w:ascii="Arial" w:cs="Arial" w:hAnsi="Arial"/>
        </w:rPr>
      </w:pPr>
    </w:p>
    <w:p w14:paraId="000000A2">
      <w:pPr>
        <w:rPr>
          <w:rFonts w:ascii="Arial" w:cs="Arial" w:hAnsi="Arial"/>
        </w:rPr>
      </w:pPr>
    </w:p>
    <w:p w14:paraId="000000A3">
      <w:pPr>
        <w:rPr>
          <w:rFonts w:ascii="Arial" w:cs="Arial" w:hAnsi="Arial"/>
        </w:rPr>
      </w:pPr>
    </w:p>
    <w:p w14:paraId="000000A4">
      <w:pPr>
        <w:rPr>
          <w:rFonts w:ascii="Arial" w:cs="Arial" w:hAnsi="Arial"/>
        </w:rPr>
      </w:pPr>
    </w:p>
    <w:p w14:paraId="000000A5">
      <w:pPr>
        <w:rPr>
          <w:rFonts w:ascii="Arial" w:cs="Arial" w:hAnsi="Arial"/>
        </w:rPr>
      </w:pPr>
    </w:p>
    <w:p w14:paraId="000000A6">
      <w:pPr>
        <w:rPr>
          <w:rFonts w:ascii="Arial" w:cs="Arial" w:hAnsi="Arial"/>
        </w:rPr>
      </w:pPr>
    </w:p>
    <w:p w14:paraId="000000A7">
      <w:pPr>
        <w:rPr>
          <w:rFonts w:ascii="Arial" w:cs="Arial" w:hAnsi="Arial"/>
        </w:rPr>
      </w:pPr>
    </w:p>
    <w:p w14:paraId="000000A8">
      <w:pPr>
        <w:rPr>
          <w:rFonts w:ascii="Arial" w:cs="Arial" w:hAnsi="Arial"/>
        </w:rPr>
      </w:pPr>
    </w:p>
    <w:p w14:paraId="000000A9">
      <w:pPr>
        <w:rPr>
          <w:rFonts w:ascii="Arial" w:cs="Arial" w:hAnsi="Arial"/>
        </w:rPr>
      </w:pPr>
    </w:p>
    <w:p w14:paraId="000000AA">
      <w:pPr>
        <w:rPr>
          <w:rFonts w:ascii="Arial" w:cs="Arial" w:hAnsi="Arial"/>
        </w:rPr>
      </w:pPr>
    </w:p>
    <w:p w14:paraId="000000AB">
      <w:pPr>
        <w:rPr>
          <w:rFonts w:ascii="Arial" w:cs="Arial" w:hAnsi="Arial"/>
        </w:rPr>
      </w:pPr>
    </w:p>
    <w:p w14:paraId="000000AC">
      <w:pPr>
        <w:rPr>
          <w:rFonts w:ascii="Arial" w:cs="Arial" w:hAnsi="Arial"/>
        </w:rPr>
      </w:pPr>
    </w:p>
    <w:p w14:paraId="000000AD">
      <w:pPr>
        <w:rPr>
          <w:rFonts w:ascii="Arial" w:cs="Arial" w:hAnsi="Arial"/>
        </w:rPr>
      </w:pPr>
    </w:p>
    <w:p w14:paraId="000000AE">
      <w:pPr>
        <w:rPr>
          <w:rFonts w:ascii="Arial" w:cs="Arial" w:hAnsi="Arial"/>
        </w:rPr>
      </w:pPr>
    </w:p>
    <w:p w14:paraId="000000AF">
      <w:pPr>
        <w:rPr>
          <w:rFonts w:ascii="Arial" w:cs="Arial" w:hAnsi="Arial"/>
        </w:rPr>
      </w:pPr>
    </w:p>
    <w:p w14:paraId="000000B0">
      <w:pPr>
        <w:rPr>
          <w:rFonts w:ascii="Arial" w:cs="Arial" w:hAnsi="Arial"/>
        </w:rPr>
      </w:pPr>
    </w:p>
    <w:p w14:paraId="000000B1">
      <w:pPr>
        <w:rPr>
          <w:rFonts w:ascii="Arial" w:cs="Arial" w:hAnsi="Arial"/>
        </w:rPr>
      </w:pPr>
      <w:bookmarkStart w:id="0" w:name="_GoBack"/>
      <w:bookmarkEnd w:id="0"/>
      <w:r>
        <w:rPr>
          <w:rFonts w:ascii="Arial" w:cs="Arial" w:hAnsi="Arial"/>
        </w:rPr>
        <w:t>T</w:t>
      </w:r>
      <w:r>
        <w:rPr>
          <w:rFonts w:ascii="Arial" w:cs="Arial" w:hAnsi="Arial"/>
        </w:rPr>
        <w:t>rewern</w:t>
      </w:r>
      <w:r>
        <w:rPr>
          <w:rFonts w:ascii="Arial" w:cs="Arial" w:hAnsi="Arial"/>
        </w:rPr>
        <w:t xml:space="preserve"> Community Council adopted/reviewed </w:t>
      </w:r>
      <w:r>
        <w:rPr>
          <w:rFonts w:ascii="Arial" w:cs="Arial" w:hAnsi="Arial"/>
        </w:rPr>
        <w:t xml:space="preserve">this </w:t>
      </w:r>
      <w:r>
        <w:rPr>
          <w:rFonts w:ascii="Arial" w:cs="Arial" w:hAnsi="Arial"/>
        </w:rPr>
        <w:t xml:space="preserve">Risk Management </w:t>
      </w:r>
      <w:r>
        <w:rPr>
          <w:rFonts w:ascii="Arial" w:cs="Arial" w:hAnsi="Arial"/>
        </w:rPr>
        <w:t>at</w:t>
      </w:r>
      <w:r>
        <w:rPr>
          <w:rFonts w:ascii="Arial" w:cs="Arial" w:hAnsi="Arial"/>
        </w:rPr>
        <w:t xml:space="preserve"> its meeting on: </w:t>
      </w:r>
    </w:p>
    <w:p w14:paraId="000000B2">
      <w:pPr>
        <w:rPr>
          <w:rFonts w:ascii="Arial" w:cs="Arial" w:hAnsi="Arial"/>
        </w:rPr>
      </w:pPr>
    </w:p>
    <w:p w14:paraId="000000B3">
      <w:pPr>
        <w:rPr>
          <w:rFonts w:ascii="Arial" w:cs="Arial" w:hAnsi="Arial"/>
        </w:rPr>
      </w:pPr>
      <w:r>
        <w:rPr>
          <w:rFonts w:ascii="Arial" w:cs="Arial" w:hAnsi="Arial"/>
        </w:rPr>
        <w:t>……………………………………………………………………………………………………………</w:t>
      </w:r>
    </w:p>
    <w:p w14:paraId="000000B4">
      <w:pPr>
        <w:rPr>
          <w:rFonts w:ascii="Arial" w:cs="Arial" w:hAnsi="Arial"/>
        </w:rPr>
      </w:pPr>
      <w:r>
        <w:rPr>
          <w:rFonts w:ascii="Arial" w:cs="Arial" w:hAnsi="Arial"/>
        </w:rPr>
        <w:t xml:space="preserve"> </w:t>
      </w:r>
    </w:p>
    <w:p w14:paraId="000000B5">
      <w:pPr>
        <w:rPr>
          <w:rFonts w:ascii="Arial" w:cs="Arial" w:hAnsi="Arial"/>
        </w:rPr>
      </w:pPr>
      <w:r>
        <w:rPr>
          <w:rFonts w:ascii="Arial" w:cs="Arial" w:hAnsi="Arial"/>
        </w:rPr>
        <w:t xml:space="preserve">Signed:………………………………………………Date:…………………………………….…….. </w:t>
      </w:r>
    </w:p>
    <w:p w14:paraId="000000B6">
      <w:pPr>
        <w:rPr>
          <w:rFonts w:ascii="Arial" w:cs="Arial" w:hAnsi="Arial"/>
        </w:rPr>
      </w:pPr>
    </w:p>
    <w:p w14:paraId="000000B7">
      <w:pPr>
        <w:rPr>
          <w:rFonts w:ascii="Arial" w:cs="Arial" w:hAnsi="Arial"/>
        </w:rPr>
      </w:pPr>
      <w:r>
        <w:rPr>
          <w:rFonts w:ascii="Arial" w:cs="Arial" w:hAnsi="Arial"/>
        </w:rPr>
        <w:t>Print Name:……………………………………………………………………………………….…….</w:t>
      </w:r>
    </w:p>
    <w:p w14:paraId="000000B8">
      <w:pPr>
        <w:rPr>
          <w:rFonts w:ascii="Arial" w:cs="Arial" w:hAnsi="Arial"/>
        </w:rPr>
      </w:pPr>
    </w:p>
    <w:p w14:paraId="000000B9">
      <w:pPr>
        <w:rPr>
          <w:rFonts w:ascii="Arial" w:cs="Arial" w:hAnsi="Arial"/>
        </w:rPr>
      </w:pPr>
      <w:r>
        <w:rPr>
          <w:rFonts w:ascii="Arial" w:cs="Arial" w:hAnsi="Arial"/>
        </w:rPr>
        <w:t xml:space="preserve">Position:……………………………………………………..………………………………………….. </w:t>
      </w:r>
    </w:p>
    <w:p w14:paraId="000000BA">
      <w:pPr>
        <w:rPr>
          <w:rFonts w:ascii="Arial" w:cs="Arial" w:hAnsi="Arial"/>
        </w:rPr>
      </w:pPr>
      <w:r>
        <w:rPr>
          <w:rFonts w:ascii="Arial" w:cs="Arial" w:hAnsi="Arial"/>
        </w:rPr>
        <w:t xml:space="preserve"> </w:t>
      </w:r>
    </w:p>
    <w:p w14:paraId="000000BB">
      <w:pPr>
        <w:rPr>
          <w:rFonts w:ascii="Arial" w:cs="Arial" w:hAnsi="Arial"/>
        </w:rPr>
      </w:pPr>
      <w:r>
        <w:rPr>
          <w:rFonts w:ascii="Arial" w:cs="Arial" w:hAnsi="Arial"/>
        </w:rPr>
        <w:t xml:space="preserve">Version No:……………………………………………………………………………..……………… </w:t>
      </w:r>
    </w:p>
    <w:p w14:paraId="000000BC">
      <w:pPr>
        <w:rPr>
          <w:rFonts w:ascii="Arial" w:cs="Arial" w:hAnsi="Arial"/>
        </w:rPr>
      </w:pPr>
      <w:r>
        <w:rPr>
          <w:rFonts w:ascii="Arial" w:cs="Arial" w:hAnsi="Arial"/>
        </w:rPr>
        <w:t xml:space="preserve"> </w:t>
      </w:r>
    </w:p>
    <w:p w14:paraId="000000BD">
      <w:pPr>
        <w:rPr>
          <w:rFonts w:ascii="Arial" w:cs="Arial" w:hAnsi="Arial"/>
        </w:rPr>
      </w:pPr>
      <w:r>
        <w:rPr>
          <w:rFonts w:ascii="Arial" w:cs="Arial" w:hAnsi="Arial"/>
        </w:rPr>
        <w:t xml:space="preserve">Review Date = Annual </w:t>
      </w:r>
    </w:p>
    <w:tbl>
      <w:tblPr>
        <w:tblStyle w:val="TableGrid"/>
        <w:tblW w:w="0" w:type="auto"/>
        <w:tblLook w:val="04A0"/>
      </w:tblPr>
      <w:tblGrid>
        <w:gridCol w:w="2547"/>
        <w:gridCol w:w="1961"/>
        <w:gridCol w:w="2254"/>
        <w:gridCol w:w="2254"/>
      </w:tblGrid>
      <w:tr>
        <w:trPr/>
        <w:tc>
          <w:tcPr>
            <w:cnfStyle w:val="101000000000"/>
            <w:tcW w:w="2547" w:type="dxa"/>
          </w:tcPr>
          <w:p w14:paraId="000000BE">
            <w:pPr>
              <w:jc w:val="center"/>
              <w:rPr>
                <w:rFonts w:ascii="Arial" w:cs="Arial" w:hAnsi="Arial"/>
              </w:rPr>
            </w:pPr>
            <w:r>
              <w:rPr>
                <w:rFonts w:ascii="Arial" w:cs="Arial" w:hAnsi="Arial"/>
              </w:rPr>
              <w:t>Amended or Reviewed</w:t>
            </w:r>
          </w:p>
          <w:p w14:paraId="000000BF">
            <w:pPr>
              <w:jc w:val="center"/>
              <w:rPr>
                <w:rFonts w:ascii="Arial" w:cs="Arial" w:hAnsi="Arial"/>
              </w:rPr>
            </w:pPr>
          </w:p>
        </w:tc>
        <w:tc>
          <w:tcPr>
            <w:cnfStyle w:val="100000000000"/>
            <w:tcW w:w="1961" w:type="dxa"/>
          </w:tcPr>
          <w:p w14:paraId="000000C0">
            <w:pPr>
              <w:jc w:val="center"/>
              <w:rPr>
                <w:rFonts w:ascii="Arial" w:cs="Arial" w:hAnsi="Arial"/>
              </w:rPr>
            </w:pPr>
            <w:r>
              <w:rPr>
                <w:rFonts w:ascii="Arial" w:cs="Arial" w:hAnsi="Arial"/>
              </w:rPr>
              <w:t>Date</w:t>
            </w:r>
          </w:p>
        </w:tc>
        <w:tc>
          <w:tcPr>
            <w:cnfStyle w:val="100000000000"/>
            <w:tcW w:w="2254" w:type="dxa"/>
          </w:tcPr>
          <w:p w14:paraId="000000C1">
            <w:pPr>
              <w:jc w:val="center"/>
              <w:rPr>
                <w:rFonts w:ascii="Arial" w:cs="Arial" w:hAnsi="Arial"/>
              </w:rPr>
            </w:pPr>
            <w:r>
              <w:rPr>
                <w:rFonts w:ascii="Arial" w:cs="Arial" w:hAnsi="Arial"/>
              </w:rPr>
              <w:t>Version No</w:t>
            </w:r>
          </w:p>
        </w:tc>
        <w:tc>
          <w:tcPr>
            <w:cnfStyle w:val="100000000000"/>
            <w:tcW w:w="2254" w:type="dxa"/>
          </w:tcPr>
          <w:p w14:paraId="000000C2">
            <w:pPr>
              <w:jc w:val="center"/>
              <w:rPr>
                <w:rFonts w:ascii="Arial" w:cs="Arial" w:hAnsi="Arial"/>
              </w:rPr>
            </w:pPr>
            <w:r>
              <w:rPr>
                <w:rFonts w:ascii="Arial" w:cs="Arial" w:hAnsi="Arial"/>
              </w:rPr>
              <w:t>Who</w:t>
            </w:r>
          </w:p>
        </w:tc>
      </w:tr>
      <w:tr>
        <w:trPr/>
        <w:tc>
          <w:tcPr>
            <w:cnfStyle w:val="001000100000"/>
            <w:tcW w:w="2547" w:type="dxa"/>
          </w:tcPr>
          <w:p w14:paraId="000000C3">
            <w:pPr>
              <w:jc w:val="center"/>
              <w:rPr>
                <w:rFonts w:ascii="Arial" w:cs="Arial" w:hAnsi="Arial"/>
              </w:rPr>
            </w:pPr>
            <w:r>
              <w:rPr>
                <w:rFonts w:ascii="Arial" w:cs="Arial" w:hAnsi="Arial"/>
              </w:rPr>
              <w:t>Approved</w:t>
            </w:r>
          </w:p>
          <w:p w14:paraId="000000C4">
            <w:pPr>
              <w:jc w:val="center"/>
              <w:rPr>
                <w:rFonts w:ascii="Arial" w:cs="Arial" w:hAnsi="Arial"/>
              </w:rPr>
            </w:pPr>
          </w:p>
        </w:tc>
        <w:tc>
          <w:tcPr>
            <w:cnfStyle w:val="000000100000"/>
            <w:tcW w:w="1961" w:type="dxa"/>
          </w:tcPr>
          <w:p w14:paraId="000000C5">
            <w:pPr>
              <w:jc w:val="center"/>
              <w:rPr>
                <w:rFonts w:ascii="Arial" w:cs="Arial" w:hAnsi="Arial"/>
              </w:rPr>
            </w:pPr>
          </w:p>
        </w:tc>
        <w:tc>
          <w:tcPr>
            <w:cnfStyle w:val="000000100000"/>
            <w:tcW w:w="2254" w:type="dxa"/>
          </w:tcPr>
          <w:p w14:paraId="000000C6">
            <w:pPr>
              <w:jc w:val="center"/>
              <w:rPr>
                <w:rFonts w:ascii="Arial" w:cs="Arial" w:hAnsi="Arial"/>
              </w:rPr>
            </w:pPr>
          </w:p>
        </w:tc>
        <w:tc>
          <w:tcPr>
            <w:cnfStyle w:val="000000100000"/>
            <w:tcW w:w="2254" w:type="dxa"/>
          </w:tcPr>
          <w:p w14:paraId="000000C7">
            <w:pPr>
              <w:jc w:val="center"/>
              <w:rPr>
                <w:rFonts w:ascii="Arial" w:cs="Arial" w:hAnsi="Arial"/>
              </w:rPr>
            </w:pPr>
          </w:p>
        </w:tc>
      </w:tr>
      <w:tr>
        <w:trPr/>
        <w:tc>
          <w:tcPr>
            <w:cnfStyle w:val="001000010000"/>
            <w:tcW w:w="2547" w:type="dxa"/>
          </w:tcPr>
          <w:p w14:paraId="000000C8">
            <w:pPr>
              <w:jc w:val="center"/>
              <w:rPr>
                <w:rFonts w:ascii="Arial" w:cs="Arial" w:hAnsi="Arial"/>
              </w:rPr>
            </w:pPr>
          </w:p>
          <w:p w14:paraId="000000C9">
            <w:pPr>
              <w:jc w:val="center"/>
              <w:rPr>
                <w:rFonts w:ascii="Arial" w:cs="Arial" w:hAnsi="Arial"/>
              </w:rPr>
            </w:pPr>
          </w:p>
        </w:tc>
        <w:tc>
          <w:tcPr>
            <w:cnfStyle w:val="000000010000"/>
            <w:tcW w:w="1961" w:type="dxa"/>
          </w:tcPr>
          <w:p w14:paraId="000000CA">
            <w:pPr>
              <w:jc w:val="center"/>
              <w:rPr>
                <w:rFonts w:ascii="Arial" w:cs="Arial" w:hAnsi="Arial"/>
              </w:rPr>
            </w:pPr>
          </w:p>
        </w:tc>
        <w:tc>
          <w:tcPr>
            <w:cnfStyle w:val="000000010000"/>
            <w:tcW w:w="2254" w:type="dxa"/>
          </w:tcPr>
          <w:p w14:paraId="000000CB">
            <w:pPr>
              <w:jc w:val="center"/>
              <w:rPr>
                <w:rFonts w:ascii="Arial" w:cs="Arial" w:hAnsi="Arial"/>
              </w:rPr>
            </w:pPr>
          </w:p>
        </w:tc>
        <w:tc>
          <w:tcPr>
            <w:cnfStyle w:val="000000010000"/>
            <w:tcW w:w="2254" w:type="dxa"/>
          </w:tcPr>
          <w:p w14:paraId="000000CC">
            <w:pPr>
              <w:jc w:val="center"/>
              <w:rPr>
                <w:rFonts w:ascii="Arial" w:cs="Arial" w:hAnsi="Arial"/>
              </w:rPr>
            </w:pPr>
          </w:p>
        </w:tc>
      </w:tr>
      <w:tr>
        <w:trPr/>
        <w:tc>
          <w:tcPr>
            <w:cnfStyle w:val="001000100000"/>
            <w:tcW w:w="2547" w:type="dxa"/>
          </w:tcPr>
          <w:p w14:paraId="000000CD">
            <w:pPr>
              <w:jc w:val="center"/>
              <w:rPr>
                <w:rFonts w:ascii="Arial" w:cs="Arial" w:hAnsi="Arial"/>
              </w:rPr>
            </w:pPr>
          </w:p>
          <w:p w14:paraId="000000CE">
            <w:pPr>
              <w:jc w:val="center"/>
              <w:rPr>
                <w:rFonts w:ascii="Arial" w:cs="Arial" w:hAnsi="Arial"/>
              </w:rPr>
            </w:pPr>
          </w:p>
        </w:tc>
        <w:tc>
          <w:tcPr>
            <w:cnfStyle w:val="000000100000"/>
            <w:tcW w:w="1961" w:type="dxa"/>
          </w:tcPr>
          <w:p w14:paraId="000000CF">
            <w:pPr>
              <w:jc w:val="center"/>
              <w:rPr>
                <w:rFonts w:ascii="Arial" w:cs="Arial" w:hAnsi="Arial"/>
              </w:rPr>
            </w:pPr>
          </w:p>
        </w:tc>
        <w:tc>
          <w:tcPr>
            <w:cnfStyle w:val="000000100000"/>
            <w:tcW w:w="2254" w:type="dxa"/>
          </w:tcPr>
          <w:p w14:paraId="000000D0">
            <w:pPr>
              <w:jc w:val="center"/>
              <w:rPr>
                <w:rFonts w:ascii="Arial" w:cs="Arial" w:hAnsi="Arial"/>
              </w:rPr>
            </w:pPr>
          </w:p>
        </w:tc>
        <w:tc>
          <w:tcPr>
            <w:cnfStyle w:val="000000100000"/>
            <w:tcW w:w="2254" w:type="dxa"/>
          </w:tcPr>
          <w:p w14:paraId="000000D1">
            <w:pPr>
              <w:jc w:val="center"/>
              <w:rPr>
                <w:rFonts w:ascii="Arial" w:cs="Arial" w:hAnsi="Arial"/>
              </w:rPr>
            </w:pPr>
          </w:p>
        </w:tc>
      </w:tr>
      <w:tr>
        <w:trPr/>
        <w:tc>
          <w:tcPr>
            <w:cnfStyle w:val="001000010000"/>
            <w:tcW w:w="2547" w:type="dxa"/>
          </w:tcPr>
          <w:p w14:paraId="000000D2">
            <w:pPr>
              <w:jc w:val="center"/>
              <w:rPr>
                <w:rFonts w:ascii="Arial" w:cs="Arial" w:hAnsi="Arial"/>
              </w:rPr>
            </w:pPr>
          </w:p>
          <w:p w14:paraId="000000D3">
            <w:pPr>
              <w:jc w:val="center"/>
              <w:rPr>
                <w:rFonts w:ascii="Arial" w:cs="Arial" w:hAnsi="Arial"/>
              </w:rPr>
            </w:pPr>
          </w:p>
        </w:tc>
        <w:tc>
          <w:tcPr>
            <w:cnfStyle w:val="000000010000"/>
            <w:tcW w:w="1961" w:type="dxa"/>
          </w:tcPr>
          <w:p w14:paraId="000000D4">
            <w:pPr>
              <w:jc w:val="center"/>
              <w:rPr>
                <w:rFonts w:ascii="Arial" w:cs="Arial" w:hAnsi="Arial"/>
              </w:rPr>
            </w:pPr>
          </w:p>
        </w:tc>
        <w:tc>
          <w:tcPr>
            <w:cnfStyle w:val="000000010000"/>
            <w:tcW w:w="2254" w:type="dxa"/>
          </w:tcPr>
          <w:p w14:paraId="000000D5">
            <w:pPr>
              <w:jc w:val="center"/>
              <w:rPr>
                <w:rFonts w:ascii="Arial" w:cs="Arial" w:hAnsi="Arial"/>
              </w:rPr>
            </w:pPr>
          </w:p>
        </w:tc>
        <w:tc>
          <w:tcPr>
            <w:cnfStyle w:val="000000010000"/>
            <w:tcW w:w="2254" w:type="dxa"/>
          </w:tcPr>
          <w:p w14:paraId="000000D6">
            <w:pPr>
              <w:jc w:val="center"/>
              <w:rPr>
                <w:rFonts w:ascii="Arial" w:cs="Arial" w:hAnsi="Arial"/>
              </w:rPr>
            </w:pPr>
          </w:p>
        </w:tc>
      </w:tr>
      <w:tr>
        <w:trPr/>
        <w:tc>
          <w:tcPr>
            <w:cnfStyle w:val="001000100000"/>
            <w:tcW w:w="2547" w:type="dxa"/>
          </w:tcPr>
          <w:p w14:paraId="000000D7">
            <w:pPr>
              <w:jc w:val="center"/>
              <w:rPr>
                <w:rFonts w:ascii="Arial" w:cs="Arial" w:hAnsi="Arial"/>
              </w:rPr>
            </w:pPr>
          </w:p>
          <w:p w14:paraId="000000D8">
            <w:pPr>
              <w:jc w:val="center"/>
              <w:rPr>
                <w:rFonts w:ascii="Arial" w:cs="Arial" w:hAnsi="Arial"/>
              </w:rPr>
            </w:pPr>
          </w:p>
        </w:tc>
        <w:tc>
          <w:tcPr>
            <w:cnfStyle w:val="000000100000"/>
            <w:tcW w:w="1961" w:type="dxa"/>
          </w:tcPr>
          <w:p w14:paraId="000000D9">
            <w:pPr>
              <w:jc w:val="center"/>
              <w:rPr>
                <w:rFonts w:ascii="Arial" w:cs="Arial" w:hAnsi="Arial"/>
              </w:rPr>
            </w:pPr>
          </w:p>
        </w:tc>
        <w:tc>
          <w:tcPr>
            <w:cnfStyle w:val="000000100000"/>
            <w:tcW w:w="2254" w:type="dxa"/>
          </w:tcPr>
          <w:p w14:paraId="000000DA">
            <w:pPr>
              <w:jc w:val="center"/>
              <w:rPr>
                <w:rFonts w:ascii="Arial" w:cs="Arial" w:hAnsi="Arial"/>
              </w:rPr>
            </w:pPr>
          </w:p>
        </w:tc>
        <w:tc>
          <w:tcPr>
            <w:cnfStyle w:val="000000100000"/>
            <w:tcW w:w="2254" w:type="dxa"/>
          </w:tcPr>
          <w:p w14:paraId="000000DB">
            <w:pPr>
              <w:jc w:val="center"/>
              <w:rPr>
                <w:rFonts w:ascii="Arial" w:cs="Arial" w:hAnsi="Arial"/>
              </w:rPr>
            </w:pPr>
          </w:p>
        </w:tc>
      </w:tr>
    </w:tbl>
    <w:p w14:paraId="000000DC"/>
    <w:sectPr>
      <w:footerReference w:type="default" r:id="rId15"/>
      <w:pgSz w:w="11906" w:h="16838"/>
      <w:pgMar w:top="1440" w:right="1440" w:bottom="1440" w:left="1440" w:header="708" w:footer="708" w:gutter="0"/>
      <w:cols w:space="708"/>
    </w:sectPr>
  </w:body>
</w:document>
</file>

<file path=word/commentsEx.xml><?xml version="1.0" encoding="utf-8"?>
<w15:commentsEx xmlns:w15="http://schemas.microsoft.com/office/word/2012/wordml">
  <w15:commentEx w15:paraId="000000E7" w15:done="0"/>
  <w15:commentEx w15:paraId="000000E8" w15:done="0"/>
  <w15:commentEx w15:paraId="000000E9" w15:done="0"/>
  <w15:commentEx w15:paraId="000000EB" w15:done="0"/>
  <w15:commentEx w15:paraId="000000EC"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endnote w:type="separator" w:id="0">
    <w:p w14:paraId="00000003">
      <w:pPr>
        <w:spacing w:after="0" w:line="240" w:lineRule="auto"/>
        <w:rPr/>
      </w:pPr>
      <w:r>
        <w:rPr/>
        <w:separator/>
      </w:r>
    </w:p>
  </w:endnote>
  <w:endnote w:type="continuationSeparator" w:id="1">
    <w:p w14:paraId="00000004">
      <w:pPr>
        <w:spacing w:after="0"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00000000" w:csb1="00000000"/>
  </w:font>
  <w:font w:name="Times New Roman">
    <w:altName w:val="Times New Roman"/>
    <w:panose1 w:val="02020603050405020304"/>
    <w:charset w:val="00"/>
    <w:family w:val="roman"/>
    <w:pitch w:val="variable"/>
    <w:sig w:usb0="00000000" w:usb1="00000000" w:usb2="00000009" w:usb3="00000000" w:csb0="000001ff" w:csb1="00000000"/>
  </w:font>
  <w:font w:name="Courier New">
    <w:panose1 w:val="02070309020205020404"/>
    <w:charset w:val="00"/>
    <w:family w:val="modern"/>
    <w:pitch w:val="fixed"/>
    <w:sig w:usb0="00000000" w:usb1="00000000" w:usb2="00000009" w:usb3="00000000" w:csb0="000001ff" w:csb1="00000000"/>
  </w:font>
  <w:font w:name="Wingdings">
    <w:panose1 w:val="05000000000000000000"/>
    <w:charset w:val="02"/>
    <w:family w:val="auto"/>
    <w:pitch w:val="variable"/>
    <w:sig w:usb0="00000000" w:usb1="10000000" w:usb2="00000000" w:usb3="00000000" w:csb0="00000000" w:csb1="00000000"/>
  </w:font>
  <w:font w:name="Arial">
    <w:panose1 w:val="020b0604020202020204"/>
    <w:charset w:val="00"/>
    <w:family w:val="swiss"/>
    <w:pitch w:val="variable"/>
    <w:sig w:usb0="00000000" w:usb1="00000000" w:usb2="00000009" w:usb3="00000000" w:csb0="000001ff" w:csb1="00000000"/>
  </w:font>
  <w:font w:name="Calibri">
    <w:altName w:val="Calibri"/>
    <w:panose1 w:val="020f0502020204030204"/>
    <w:charset w:val="00"/>
    <w:family w:val="swiss"/>
    <w:pitch w:val="variable"/>
    <w:sig w:usb0="00000000" w:usb1="00000000" w:usb2="00000009" w:usb3="00000000" w:csb0="000001ff" w:csb1="00000000"/>
  </w:font>
  <w:font w:name="Calibri Light">
    <w:panose1 w:val="020f0302020204030204"/>
    <w:charset w:val="00"/>
    <w:family w:val="swiss"/>
    <w:pitch w:val="variable"/>
    <w:sig w:usb0="00000000" w:usb1="00000000" w:usb2="00000009" w:usb3="00000000" w:csb0="000001ff" w:csb1="00000000"/>
  </w:font>
  <w:font w:name="Cambria">
    <w:panose1 w:val="02040503050406030204"/>
    <w:charset w:val="00"/>
    <w:family w:val="roman"/>
    <w:pitch w:val="variable"/>
    <w:sig w:usb0="00000000" w:usb1="4000004b" w:usb2="00000000" w:usb3="00000000" w:csb0="0000009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Helvetica Neue">
    <w:charset w:val="00"/>
    <w:family w:val="swiss"/>
    <w:pitch w:val="variable"/>
  </w:font>
  <w:font w:name="Segoe UI">
    <w:charset w:val="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0DD">
    <w:pPr>
      <w:pStyle w:val="Footer"/>
      <w:jc w:val="right"/>
      <w:rPr/>
    </w:pPr>
    <w:r>
      <w:t xml:space="preserve">Page </w:t>
    </w:r>
    <w:r>
      <w:rPr>
        <w:b/>
        <w:bCs/>
      </w:rPr>
      <w:fldChar w:fldCharType="begin"/>
    </w:r>
    <w:r>
      <w:rPr>
        <w:b/>
        <w:bCs/>
      </w:rPr>
      <w:instrText xml:space="preserve"> PAGE </w:instrText>
    </w:r>
    <w:r>
      <w:rPr>
        <w:b/>
        <w:bCs/>
      </w:rPr>
      <w:fldChar w:fldCharType="separate"/>
    </w:r>
    <w:r>
      <w:rPr>
        <w:b/>
        <w:bCs/>
      </w:rPr>
      <w:t>2</w:t>
    </w:r>
    <w:r>
      <w:fldChar w:fldCharType="end"/>
    </w:r>
    <w:r>
      <w:t xml:space="preserve"> of </w:t>
    </w:r>
    <w:r>
      <w:rPr>
        <w:b/>
        <w:bCs/>
      </w:rPr>
      <w:fldChar w:fldCharType="begin"/>
    </w:r>
    <w:r>
      <w:rPr>
        <w:b/>
        <w:bCs/>
      </w:rPr>
      <w:instrText xml:space="preserve"> NUMPAGES  </w:instrText>
    </w:r>
    <w:r>
      <w:rPr>
        <w:b/>
        <w:bCs/>
      </w:rPr>
      <w:fldChar w:fldCharType="separate"/>
    </w:r>
    <w:r>
      <w:rPr>
        <w:b/>
        <w:bCs/>
      </w:rPr>
      <w:t>2</w:t>
    </w:r>
    <w:r>
      <w:fldChar w:fldCharType="end"/>
    </w:r>
  </w:p>
  <w:p w14:paraId="000000DE">
    <w:pPr>
      <w:pStyle w:val="Foot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footnote w:type="separator" w:id="0">
    <w:p w14:paraId="00000001">
      <w:pPr>
        <w:spacing w:after="0" w:line="240" w:lineRule="auto"/>
        <w:rPr/>
      </w:pPr>
      <w:r>
        <w:rPr/>
        <w:separator/>
      </w:r>
    </w:p>
  </w:footnote>
  <w:footnote w:type="continuationSeparator" w:id="1">
    <w:p w14:paraId="00000002">
      <w:pPr>
        <w:spacing w:after="0" w:line="240" w:lineRule="auto"/>
        <w:rPr/>
      </w:pPr>
      <w:r>
        <w:rPr/>
        <w:continuationSeparato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3">
    <w:multiLevelType w:val="hybridMultilevel"/>
    <w:lvl w:ilvl="0" w:tentative="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5">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6">
    <w:multiLevelType w:val="hybridMultilevel"/>
    <w:lvl w:ilvl="0" w:tentative="0">
      <w:numFmt w:val="bullet"/>
      <w:lvlText w:val="•"/>
      <w:lvlJc w:val="left"/>
      <w:pPr>
        <w:ind w:left="720" w:hanging="360"/>
      </w:pPr>
      <w:rPr>
        <w:rFonts w:ascii="Arial" w:cs="Arial" w:eastAsiaTheme="minorHAnsi" w:hAnsi="Aria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7">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8">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9">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0">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1">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2">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3">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4">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5">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6">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7">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8">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9">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0">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1">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2">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3">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4">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5">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6">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7">
    <w:multiLevelType w:val="hybridMultilevel"/>
    <w:lvl w:ilvl="0" w:tentative="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multiLevelType w:val="hybridMultilevel"/>
    <w:lvl w:ilvl="0" w:tentative="0">
      <w:start w:val="1"/>
      <w:numFmt w:val="bullet"/>
      <w:isLgl w:val="off"/>
      <w:suff w:val="tab"/>
      <w:lvlText w:val=""/>
      <w:lvlJc w:val="left"/>
      <w:pPr>
        <w:ind w:left="720" w:hanging="360"/>
      </w:pPr>
      <w:rPr>
        <w:rFonts w:ascii="Symbol" w:hAnsi="Symbol"/>
      </w:rPr>
    </w:lvl>
    <w:lvl w:ilvl="1" w:tentative="1">
      <w:start w:val="1"/>
      <w:numFmt w:val="bullet"/>
      <w:isLgl w:val="off"/>
      <w:suff w:val="tab"/>
      <w:lvlText w:val="o"/>
      <w:lvlJc w:val="left"/>
      <w:pPr>
        <w:ind w:left="1440" w:hanging="360"/>
      </w:pPr>
      <w:rPr>
        <w:rFonts w:ascii="Courier New" w:cs="Courier New" w:hAnsi="Courier New"/>
      </w:rPr>
    </w:lvl>
    <w:lvl w:ilvl="2" w:tentative="1">
      <w:start w:val="1"/>
      <w:numFmt w:val="bullet"/>
      <w:isLgl w:val="off"/>
      <w:suff w:val="tab"/>
      <w:lvlText w:val=""/>
      <w:lvlJc w:val="left"/>
      <w:pPr>
        <w:ind w:left="2160" w:hanging="360"/>
      </w:pPr>
      <w:rPr>
        <w:rFonts w:ascii="Wingdings" w:hAnsi="Wingdings"/>
      </w:rPr>
    </w:lvl>
    <w:lvl w:ilvl="3" w:tentative="1">
      <w:start w:val="1"/>
      <w:numFmt w:val="bullet"/>
      <w:isLgl w:val="off"/>
      <w:suff w:val="tab"/>
      <w:lvlText w:val=""/>
      <w:lvlJc w:val="left"/>
      <w:pPr>
        <w:ind w:left="2880" w:hanging="360"/>
      </w:pPr>
      <w:rPr>
        <w:rFonts w:ascii="Symbol" w:hAnsi="Symbol"/>
      </w:rPr>
    </w:lvl>
    <w:lvl w:ilvl="4" w:tentative="1">
      <w:start w:val="1"/>
      <w:numFmt w:val="bullet"/>
      <w:isLgl w:val="off"/>
      <w:suff w:val="tab"/>
      <w:lvlText w:val="o"/>
      <w:lvlJc w:val="left"/>
      <w:pPr>
        <w:ind w:left="3600" w:hanging="360"/>
      </w:pPr>
      <w:rPr>
        <w:rFonts w:ascii="Courier New" w:cs="Courier New" w:hAnsi="Courier New"/>
      </w:rPr>
    </w:lvl>
    <w:lvl w:ilvl="5" w:tentative="1">
      <w:start w:val="1"/>
      <w:numFmt w:val="bullet"/>
      <w:isLgl w:val="off"/>
      <w:suff w:val="tab"/>
      <w:lvlText w:val=""/>
      <w:lvlJc w:val="left"/>
      <w:pPr>
        <w:ind w:left="4320" w:hanging="360"/>
      </w:pPr>
      <w:rPr>
        <w:rFonts w:ascii="Wingdings" w:hAnsi="Wingdings"/>
      </w:rPr>
    </w:lvl>
    <w:lvl w:ilvl="6" w:tentative="1">
      <w:start w:val="1"/>
      <w:numFmt w:val="bullet"/>
      <w:isLgl w:val="off"/>
      <w:suff w:val="tab"/>
      <w:lvlText w:val=""/>
      <w:lvlJc w:val="left"/>
      <w:pPr>
        <w:ind w:left="5040" w:hanging="360"/>
      </w:pPr>
      <w:rPr>
        <w:rFonts w:ascii="Symbol" w:hAnsi="Symbol"/>
      </w:rPr>
    </w:lvl>
    <w:lvl w:ilvl="7" w:tentative="1">
      <w:start w:val="1"/>
      <w:numFmt w:val="bullet"/>
      <w:isLgl w:val="off"/>
      <w:suff w:val="tab"/>
      <w:lvlText w:val="o"/>
      <w:lvlJc w:val="left"/>
      <w:pPr>
        <w:ind w:left="5760" w:hanging="360"/>
      </w:pPr>
      <w:rPr>
        <w:rFonts w:ascii="Courier New" w:cs="Courier New" w:hAnsi="Courier New"/>
      </w:rPr>
    </w:lvl>
    <w:lvl w:ilvl="8" w:tentative="1">
      <w:start w:val="1"/>
      <w:numFmt w:val="bullet"/>
      <w:isLgl w:val="off"/>
      <w:suff w:val="tab"/>
      <w:lvlText w:val=""/>
      <w:lvlJc w:val="left"/>
      <w:pPr>
        <w:ind w:left="6480" w:hanging="360"/>
      </w:pPr>
      <w:rPr>
        <w:rFonts w:ascii="Wingdings" w:hAnsi="Wingdings"/>
      </w:rPr>
    </w:lvl>
  </w:abstractNum>
  <w:num w:numId="1">
    <w:abstractNumId w:val="18"/>
  </w:num>
  <w:num w:numId="2">
    <w:abstractNumId w:val="27"/>
  </w:num>
  <w:num w:numId="3">
    <w:abstractNumId w:val="3"/>
  </w:num>
  <w:num w:numId="4">
    <w:abstractNumId w:val="17"/>
  </w:num>
  <w:num w:numId="5">
    <w:abstractNumId w:val="8"/>
  </w:num>
  <w:num w:numId="6">
    <w:abstractNumId w:val="19"/>
  </w:num>
  <w:num w:numId="7">
    <w:abstractNumId w:val="23"/>
  </w:num>
  <w:num w:numId="8">
    <w:abstractNumId w:val="16"/>
  </w:num>
  <w:num w:numId="9">
    <w:abstractNumId w:val="12"/>
  </w:num>
  <w:num w:numId="10">
    <w:abstractNumId w:val="2"/>
  </w:num>
  <w:num w:numId="11">
    <w:abstractNumId w:val="0"/>
  </w:num>
  <w:num w:numId="12">
    <w:abstractNumId w:val="22"/>
  </w:num>
  <w:num w:numId="13">
    <w:abstractNumId w:val="13"/>
  </w:num>
  <w:num w:numId="14">
    <w:abstractNumId w:val="5"/>
  </w:num>
  <w:num w:numId="15">
    <w:abstractNumId w:val="1"/>
  </w:num>
  <w:num w:numId="16">
    <w:abstractNumId w:val="14"/>
  </w:num>
  <w:num w:numId="17">
    <w:abstractNumId w:val="15"/>
  </w:num>
  <w:num w:numId="18">
    <w:abstractNumId w:val="10"/>
  </w:num>
  <w:num w:numId="19">
    <w:abstractNumId w:val="26"/>
  </w:num>
  <w:num w:numId="20">
    <w:abstractNumId w:val="4"/>
  </w:num>
  <w:num w:numId="21">
    <w:abstractNumId w:val="24"/>
  </w:num>
  <w:num w:numId="22">
    <w:abstractNumId w:val="21"/>
  </w:num>
  <w:num w:numId="23">
    <w:abstractNumId w:val="20"/>
  </w:num>
  <w:num w:numId="24">
    <w:abstractNumId w:val="9"/>
  </w:num>
  <w:num w:numId="25">
    <w:abstractNumId w:val="11"/>
  </w:num>
  <w:num w:numId="26">
    <w:abstractNumId w:val="25"/>
  </w:num>
  <w:num w:numId="27">
    <w:abstractNumId w:val="7"/>
  </w:num>
  <w:num w:numId="28">
    <w:abstractNumId w:val="6"/>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528"/>
    <w:rsid w:val="00015B52"/>
    <w:rsid w:val="00057BD1"/>
    <w:rsid w:val="00095D8E"/>
    <w:rsid w:val="000C5B74"/>
    <w:rsid w:val="0019752C"/>
    <w:rsid w:val="001A3159"/>
    <w:rsid w:val="00220E98"/>
    <w:rsid w:val="002A7242"/>
    <w:rsid w:val="002F0BDC"/>
    <w:rsid w:val="003301CA"/>
    <w:rsid w:val="00392A98"/>
    <w:rsid w:val="004470B6"/>
    <w:rsid w:val="00464CFA"/>
    <w:rsid w:val="004715F2"/>
    <w:rsid w:val="0051121B"/>
    <w:rsid w:val="00587053"/>
    <w:rsid w:val="005950CF"/>
    <w:rsid w:val="005950D5"/>
    <w:rsid w:val="00617E0D"/>
    <w:rsid w:val="006846B1"/>
    <w:rsid w:val="00727788"/>
    <w:rsid w:val="0076473A"/>
    <w:rsid w:val="0078684D"/>
    <w:rsid w:val="007E2251"/>
    <w:rsid w:val="008254A3"/>
    <w:rsid w:val="008B7764"/>
    <w:rsid w:val="009C1266"/>
    <w:rsid w:val="009F7F03"/>
    <w:rsid w:val="00AD3B88"/>
    <w:rsid w:val="00B0376D"/>
    <w:rsid w:val="00B15342"/>
    <w:rsid w:val="00B252BE"/>
    <w:rsid w:val="00B574D7"/>
    <w:rsid w:val="00BB0528"/>
    <w:rsid w:val="00C25E07"/>
    <w:rsid w:val="00D1229B"/>
    <w:rsid w:val="00D201DF"/>
    <w:rsid w:val="00D47892"/>
    <w:rsid w:val="00DA5884"/>
    <w:rsid w:val="00DB69E3"/>
    <w:rsid w:val="00E13BBE"/>
    <w:rsid w:val="00E41888"/>
    <w:rsid w:val="00E56695"/>
    <w:rsid w:val="00E945D0"/>
    <w:rsid w:val="00F66D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04433"/>
  <w15:chartTrackingRefBased/>
  <w15:docId w15:val="{D4190026-4207-4F3B-85D3-028E7C914258}"/>
  <w:footnotePr>
    <w:footnote w:id="0"/>
    <w:footnote w:id="1"/>
  </w:footnotePr>
  <w:endnotePr>
    <w:endnote w:id="0"/>
    <w:endnote w:id="1"/>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sz w:val="22"/>
        <w:szCs w:val="22"/>
        <w:lang w:val="en-GB" w:bidi="ar-SA" w:eastAsia="en-US"/>
      </w:rPr>
    </w:rPrDefault>
    <w:pPrDefault>
      <w:pPr>
        <w:spacing w:after="160" w:line="259"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 w:type="paragraph" w:default="1" w:styleId="Normal">
    <w:name w:val="Normal"/>
    <w:uiPriority w:val="99"/>
    <w:qFormat w:val="on"/>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table" w:styleId="TableGrid">
    <w:name w:val="Table Grid"/>
    <w:basedOn w:val="NormalTable"/>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val="on"/>
    <w:pPr>
      <w:spacing w:after="0" w:line="240" w:lineRule="auto"/>
    </w:pPr>
  </w:style>
  <w:style w:type="paragraph" w:styleId="Header">
    <w:name w:val="Header"/>
    <w:basedOn w:val="Normal"/>
    <w:link w:val="HeaderChar"/>
    <w:uiPriority w:val="99"/>
    <w:unhideWhenUsed w:val="on"/>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val="on"/>
    <w:pPr>
      <w:ind w:left="720"/>
      <w:contextualSpacing w:val="o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15" Type="http://schemas.openxmlformats.org/officeDocument/2006/relationships/footer" Target="footer1.xml"/><Relationship Id="rId2" Type="http://schemas.openxmlformats.org/officeDocument/2006/relationships/styles" Target="styles.xml"/><Relationship Id="rId3" Type="http://schemas.openxmlformats.org/officeDocument/2006/relationships/settings" Target="settings.xml"/><Relationship Id="rId5" Type="http://schemas.openxmlformats.org/officeDocument/2006/relationships/footnotes" Target="footnotes.xml"/><Relationship Id="rId6"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4" Type="http://schemas.openxmlformats.org/officeDocument/2006/relationships/webSettings" Target="webSettings.xml"/><Relationship Id="rId12" Type="http://schemas.microsoft.com/office/2011/relationships/commentsExtended" Target="commentsEx.xml"/></Relationships>
</file>

<file path=word/_rels/endnotes.xml.rels><?xml version="1.0" encoding="UTF-8" standalone="yes"?>
<Relationships xmlns="http://schemas.openxmlformats.org/package/2006/relationships"></Relationships>
</file>

<file path=word/_rels/footer1.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5</Pages>
  <Words>1119</Words>
  <Characters>6381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Clark</dc:creator>
  <cp:lastModifiedBy>Angela Evans</cp:lastModifiedBy>
</cp:coreProperties>
</file>